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val="en-US" w:eastAsia="zh-CN"/>
        </w:rPr>
        <w:t>2022年古丈县民生实事项目征集意见表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                     建议人姓名：            联系电话：                    填报时间：2022年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14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tbl>
      <w:tblPr>
        <w:tblStyle w:val="6"/>
        <w:tblW w:w="1434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75"/>
        <w:gridCol w:w="2445"/>
        <w:gridCol w:w="3555"/>
        <w:gridCol w:w="1605"/>
        <w:gridCol w:w="1830"/>
        <w:gridCol w:w="17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项目背景（建设的必要性和可行性）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主要内容（项目规模及内容）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  <w:tab w:val="center" w:pos="1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投资额度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  <w:tab w:val="center" w:pos="1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（估算总投资）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完成期限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07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304" w:right="1247" w:bottom="1587" w:left="1247" w:header="851" w:footer="1247" w:gutter="454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D38AB"/>
    <w:rsid w:val="0C2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  <w:jc w:val="left"/>
    </w:pPr>
    <w:rPr>
      <w:sz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1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2022-01-12T04:04:00Z</dcterms:created>
  <dc:creator>鲁明玲</dc:creator>
  <cp:lastModifiedBy>鲁明玲</cp:lastModifiedBy>
  <dcterms:modified xsi:type="dcterms:W3CDTF">2022-01-12T04:05:54Z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