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6" w:lineRule="auto"/>
        <w:jc w:val="left"/>
        <w:rPr>
          <w:rFonts w:ascii="Arial" w:eastAsia="Arial"/>
          <w:kern w:val="0"/>
          <w:sz w:val="21"/>
        </w:rPr>
      </w:pPr>
    </w:p>
    <w:p>
      <w:pPr>
        <w:spacing w:line="246" w:lineRule="auto"/>
        <w:jc w:val="left"/>
        <w:rPr>
          <w:rFonts w:ascii="Arial" w:eastAsia="Arial"/>
          <w:kern w:val="0"/>
          <w:sz w:val="21"/>
        </w:rPr>
      </w:pPr>
    </w:p>
    <w:p>
      <w:pPr>
        <w:spacing w:line="246" w:lineRule="auto"/>
        <w:jc w:val="left"/>
        <w:rPr>
          <w:rFonts w:ascii="Arial" w:eastAsia="Arial"/>
          <w:kern w:val="0"/>
          <w:sz w:val="21"/>
        </w:rPr>
      </w:pPr>
    </w:p>
    <w:p>
      <w:pPr>
        <w:spacing w:line="246" w:lineRule="auto"/>
        <w:jc w:val="left"/>
        <w:rPr>
          <w:rFonts w:ascii="Arial" w:eastAsia="Arial"/>
          <w:kern w:val="0"/>
          <w:sz w:val="21"/>
        </w:rPr>
      </w:pPr>
    </w:p>
    <w:p>
      <w:pPr>
        <w:spacing w:line="360" w:lineRule="auto"/>
      </w:pPr>
    </w:p>
    <w:p>
      <w:pPr>
        <w:spacing w:before="223" w:line="360" w:lineRule="auto"/>
        <w:jc w:val="center"/>
        <w:rPr>
          <w:rFonts w:hint="eastAsia" w:ascii="方正小标宋简体" w:hAnsi="方正小标宋简体" w:eastAsia="方正小标宋简体" w:cs="方正小标宋简体"/>
          <w:spacing w:val="-3"/>
          <w:position w:val="31"/>
          <w:sz w:val="48"/>
          <w:szCs w:val="48"/>
        </w:rPr>
      </w:pPr>
      <w:bookmarkStart w:id="0" w:name="FM_SET_YEAR_1"/>
      <w:r>
        <w:rPr>
          <w:rFonts w:hint="eastAsia" w:ascii="方正小标宋简体" w:hAnsi="方正小标宋简体" w:eastAsia="方正小标宋简体" w:cs="方正小标宋简体"/>
          <w:spacing w:val="-4"/>
          <w:position w:val="31"/>
          <w:sz w:val="48"/>
          <w:szCs w:val="48"/>
        </w:rPr>
        <w:t>2022</w:t>
      </w:r>
      <w:bookmarkEnd w:id="0"/>
      <w:r>
        <w:rPr>
          <w:rFonts w:hint="eastAsia" w:ascii="方正小标宋简体" w:hAnsi="方正小标宋简体" w:eastAsia="方正小标宋简体" w:cs="方正小标宋简体"/>
          <w:spacing w:val="-4"/>
          <w:position w:val="31"/>
          <w:sz w:val="48"/>
          <w:szCs w:val="48"/>
        </w:rPr>
        <w:t>年</w:t>
      </w:r>
      <w:r>
        <w:rPr>
          <w:rFonts w:hint="eastAsia" w:ascii="方正小标宋简体" w:hAnsi="方正小标宋简体" w:eastAsia="方正小标宋简体" w:cs="方正小标宋简体"/>
          <w:spacing w:val="-3"/>
          <w:position w:val="31"/>
          <w:sz w:val="48"/>
          <w:szCs w:val="48"/>
        </w:rPr>
        <w:t>度</w:t>
      </w:r>
      <w:bookmarkStart w:id="1" w:name="FM_AGENCY_NAME_1"/>
      <w:r>
        <w:rPr>
          <w:rFonts w:hint="eastAsia" w:ascii="方正小标宋简体" w:hAnsi="方正小标宋简体" w:eastAsia="方正小标宋简体" w:cs="方正小标宋简体"/>
          <w:spacing w:val="-3"/>
          <w:position w:val="31"/>
          <w:sz w:val="48"/>
          <w:szCs w:val="48"/>
        </w:rPr>
        <w:t>古丈县自然资源局</w:t>
      </w:r>
      <w:bookmarkEnd w:id="1"/>
    </w:p>
    <w:p>
      <w:pPr>
        <w:spacing w:before="223" w:line="360" w:lineRule="auto"/>
        <w:ind w:left="1991" w:leftChars="948" w:firstLine="932" w:firstLineChars="200"/>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pacing w:val="-7"/>
          <w:sz w:val="48"/>
          <w:szCs w:val="48"/>
        </w:rPr>
        <w:t>财</w:t>
      </w:r>
      <w:r>
        <w:rPr>
          <w:rFonts w:hint="eastAsia" w:ascii="方正小标宋简体" w:hAnsi="方正小标宋简体" w:eastAsia="方正小标宋简体" w:cs="方正小标宋简体"/>
          <w:spacing w:val="-5"/>
          <w:sz w:val="48"/>
          <w:szCs w:val="48"/>
        </w:rPr>
        <w:t>务报告</w:t>
      </w:r>
    </w:p>
    <w:p>
      <w:pPr>
        <w:spacing w:line="246" w:lineRule="auto"/>
        <w:jc w:val="left"/>
        <w:rPr>
          <w:rFonts w:ascii="Arial" w:eastAsia="Arial"/>
          <w:kern w:val="0"/>
          <w:sz w:val="21"/>
        </w:rPr>
      </w:pPr>
    </w:p>
    <w:p>
      <w:pPr>
        <w:spacing w:line="246" w:lineRule="auto"/>
        <w:jc w:val="left"/>
        <w:rPr>
          <w:rFonts w:ascii="Arial" w:eastAsia="Arial"/>
          <w:kern w:val="0"/>
          <w:sz w:val="21"/>
        </w:rPr>
      </w:pPr>
    </w:p>
    <w:p>
      <w:pPr>
        <w:spacing w:line="246" w:lineRule="auto"/>
        <w:jc w:val="left"/>
        <w:rPr>
          <w:rFonts w:ascii="Arial" w:eastAsia="Arial"/>
          <w:kern w:val="0"/>
          <w:sz w:val="21"/>
        </w:rPr>
      </w:pPr>
    </w:p>
    <w:p>
      <w:pPr>
        <w:spacing w:line="246" w:lineRule="auto"/>
        <w:jc w:val="left"/>
        <w:rPr>
          <w:rFonts w:ascii="Arial" w:eastAsia="Arial"/>
          <w:kern w:val="0"/>
          <w:sz w:val="21"/>
        </w:rPr>
      </w:pPr>
    </w:p>
    <w:p>
      <w:pPr>
        <w:spacing w:line="246" w:lineRule="auto"/>
        <w:jc w:val="left"/>
        <w:rPr>
          <w:rFonts w:ascii="Arial" w:eastAsia="Arial"/>
          <w:kern w:val="0"/>
          <w:sz w:val="21"/>
        </w:rPr>
      </w:pPr>
      <w:bookmarkStart w:id="61" w:name="_GoBack"/>
      <w:bookmarkEnd w:id="61"/>
    </w:p>
    <w:p>
      <w:pPr>
        <w:spacing w:line="246" w:lineRule="auto"/>
        <w:jc w:val="left"/>
        <w:rPr>
          <w:rFonts w:ascii="Arial" w:eastAsia="Arial"/>
          <w:kern w:val="0"/>
          <w:sz w:val="21"/>
        </w:rPr>
      </w:pPr>
    </w:p>
    <w:p>
      <w:pPr>
        <w:spacing w:line="246" w:lineRule="auto"/>
        <w:jc w:val="left"/>
        <w:rPr>
          <w:rFonts w:ascii="Arial" w:eastAsia="Arial"/>
          <w:kern w:val="0"/>
          <w:sz w:val="21"/>
        </w:rPr>
      </w:pPr>
    </w:p>
    <w:p>
      <w:pPr>
        <w:spacing w:line="246" w:lineRule="auto"/>
        <w:jc w:val="left"/>
        <w:rPr>
          <w:rFonts w:ascii="Arial" w:eastAsia="Arial"/>
          <w:kern w:val="0"/>
          <w:sz w:val="21"/>
        </w:rPr>
      </w:pPr>
    </w:p>
    <w:p>
      <w:pPr>
        <w:spacing w:line="246" w:lineRule="auto"/>
        <w:jc w:val="left"/>
        <w:rPr>
          <w:rFonts w:ascii="Arial" w:eastAsia="Arial"/>
          <w:kern w:val="0"/>
          <w:sz w:val="21"/>
        </w:rPr>
      </w:pPr>
    </w:p>
    <w:p>
      <w:pPr>
        <w:spacing w:before="101" w:line="224" w:lineRule="auto"/>
        <w:ind w:left="2269"/>
        <w:jc w:val="left"/>
        <w:rPr>
          <w:rFonts w:ascii="宋体" w:hAnsi="宋体" w:eastAsia="宋体" w:cs="宋体"/>
          <w:spacing w:val="-4"/>
          <w:kern w:val="0"/>
          <w:sz w:val="31"/>
          <w:szCs w:val="31"/>
        </w:rPr>
      </w:pPr>
      <w:r>
        <w:rPr>
          <w:rFonts w:ascii="宋体" w:hAnsi="宋体" w:eastAsia="宋体" w:cs="宋体"/>
          <w:spacing w:val="-4"/>
          <w:kern w:val="0"/>
          <w:sz w:val="31"/>
          <w:szCs w:val="31"/>
        </w:rPr>
        <w:t>部门</w:t>
      </w:r>
      <w:r>
        <w:rPr>
          <w:rFonts w:hint="eastAsia" w:ascii="宋体" w:hAnsi="宋体" w:eastAsia="宋体" w:cs="宋体"/>
          <w:spacing w:val="-4"/>
          <w:kern w:val="0"/>
          <w:sz w:val="31"/>
          <w:szCs w:val="31"/>
          <w:lang w:val="en-US" w:eastAsia="zh-CN"/>
        </w:rPr>
        <w:t xml:space="preserve"> </w:t>
      </w:r>
      <w:r>
        <w:rPr>
          <w:rFonts w:ascii="宋体" w:hAnsi="宋体" w:eastAsia="宋体" w:cs="宋体"/>
          <w:spacing w:val="-4"/>
          <w:kern w:val="0"/>
          <w:sz w:val="31"/>
          <w:szCs w:val="31"/>
        </w:rPr>
        <w:t>(单位)</w:t>
      </w:r>
      <w:r>
        <w:rPr>
          <w:rFonts w:hint="eastAsia" w:ascii="宋体" w:hAnsi="宋体" w:eastAsia="宋体" w:cs="宋体"/>
          <w:spacing w:val="-4"/>
          <w:kern w:val="0"/>
          <w:sz w:val="31"/>
          <w:szCs w:val="31"/>
          <w:lang w:val="en-US" w:eastAsia="zh-CN"/>
        </w:rPr>
        <w:t xml:space="preserve"> </w:t>
      </w:r>
      <w:r>
        <w:rPr>
          <w:rFonts w:ascii="宋体" w:hAnsi="宋体" w:eastAsia="宋体" w:cs="宋体"/>
          <w:spacing w:val="-4"/>
          <w:kern w:val="0"/>
          <w:sz w:val="31"/>
          <w:szCs w:val="31"/>
        </w:rPr>
        <w:t xml:space="preserve">名称：  </w:t>
      </w:r>
      <w:bookmarkStart w:id="2" w:name="FM_AGENCY_NAME_2"/>
      <w:r>
        <w:rPr>
          <w:rFonts w:ascii="宋体" w:hAnsi="宋体" w:eastAsia="宋体" w:cs="宋体"/>
          <w:spacing w:val="-4"/>
          <w:kern w:val="0"/>
          <w:sz w:val="31"/>
          <w:szCs w:val="31"/>
        </w:rPr>
        <w:t>古丈县自然资源局</w:t>
      </w:r>
      <w:bookmarkEnd w:id="2"/>
    </w:p>
    <w:p>
      <w:pPr>
        <w:spacing w:line="255" w:lineRule="auto"/>
        <w:jc w:val="left"/>
        <w:rPr>
          <w:rFonts w:ascii="Arial" w:eastAsia="Arial"/>
          <w:kern w:val="0"/>
          <w:sz w:val="21"/>
        </w:rPr>
      </w:pPr>
    </w:p>
    <w:p>
      <w:pPr>
        <w:spacing w:line="255" w:lineRule="auto"/>
        <w:jc w:val="left"/>
        <w:rPr>
          <w:rFonts w:ascii="Arial" w:eastAsia="Arial"/>
          <w:kern w:val="0"/>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55" w:lineRule="auto"/>
        <w:jc w:val="left"/>
        <w:rPr>
          <w:rFonts w:ascii="Arial" w:eastAsia="Arial"/>
          <w:kern w:val="0"/>
          <w:sz w:val="21"/>
        </w:rPr>
      </w:pPr>
    </w:p>
    <w:p>
      <w:pPr>
        <w:keepNext w:val="0"/>
        <w:keepLines w:val="0"/>
        <w:pageBreakBefore w:val="0"/>
        <w:widowControl/>
        <w:kinsoku w:val="0"/>
        <w:wordWrap/>
        <w:overflowPunct/>
        <w:topLinePunct w:val="0"/>
        <w:autoSpaceDE w:val="0"/>
        <w:autoSpaceDN w:val="0"/>
        <w:bidi w:val="0"/>
        <w:adjustRightInd w:val="0"/>
        <w:snapToGrid w:val="0"/>
        <w:spacing w:before="101" w:line="224" w:lineRule="auto"/>
        <w:ind w:firstLine="2416" w:firstLineChars="800"/>
        <w:textAlignment w:val="baseline"/>
        <w:rPr>
          <w:rFonts w:ascii="宋体" w:hAnsi="宋体" w:eastAsia="宋体" w:cs="宋体"/>
          <w:sz w:val="32"/>
          <w:szCs w:val="32"/>
        </w:rPr>
      </w:pPr>
      <w:r>
        <w:rPr>
          <w:rFonts w:hint="eastAsia" w:ascii="宋体" w:hAnsi="宋体" w:eastAsia="宋体" w:cs="宋体"/>
          <w:spacing w:val="-4"/>
          <w:kern w:val="0"/>
          <w:sz w:val="31"/>
          <w:szCs w:val="31"/>
          <w:lang w:eastAsia="zh-CN"/>
        </w:rPr>
        <w:t>填报时间</w:t>
      </w:r>
      <w:r>
        <w:rPr>
          <w:rFonts w:ascii="宋体" w:hAnsi="宋体" w:eastAsia="宋体" w:cs="宋体"/>
          <w:spacing w:val="-4"/>
          <w:kern w:val="0"/>
          <w:sz w:val="31"/>
          <w:szCs w:val="31"/>
        </w:rPr>
        <w:t>：</w:t>
      </w:r>
      <w:bookmarkStart w:id="3" w:name="FM_BSRQ"/>
      <w:r>
        <w:rPr>
          <w:rFonts w:hint="eastAsia" w:ascii="宋体" w:hAnsi="宋体" w:eastAsia="宋体" w:cs="宋体"/>
          <w:spacing w:val="-4"/>
          <w:kern w:val="0"/>
          <w:sz w:val="31"/>
          <w:szCs w:val="31"/>
          <w:lang w:val="en-US" w:eastAsia="zh-CN"/>
        </w:rPr>
        <w:t>2023年05月</w:t>
      </w:r>
      <w:bookmarkEnd w:id="3"/>
    </w:p>
    <w:p>
      <w:pPr>
        <w:spacing w:line="360" w:lineRule="auto"/>
        <w:sectPr>
          <w:headerReference r:id="rId3" w:type="default"/>
          <w:pgSz w:w="11906" w:h="16839"/>
          <w:pgMar w:top="1431" w:right="1785" w:bottom="0" w:left="1785" w:header="0" w:footer="0" w:gutter="0"/>
          <w:cols w:space="720" w:num="1"/>
        </w:sectPr>
      </w:pPr>
    </w:p>
    <w:p>
      <w:pPr>
        <w:spacing w:line="263" w:lineRule="auto"/>
        <w:jc w:val="left"/>
      </w:pPr>
    </w:p>
    <w:p>
      <w:pPr>
        <w:spacing w:line="263" w:lineRule="auto"/>
        <w:jc w:val="left"/>
      </w:pPr>
    </w:p>
    <w:sdt>
      <w:sdtPr>
        <w:rPr>
          <w:rFonts w:ascii="宋体" w:hAnsi="宋体" w:eastAsia="宋体"/>
        </w:rPr>
        <w:id w:val="147456857"/>
        <w:docPartObj>
          <w:docPartGallery w:val="Table of Contents"/>
          <w:docPartUnique/>
        </w:docPartObj>
      </w:sdtPr>
      <w:sdtEndPr>
        <w:rPr>
          <w:rFonts w:ascii="Arial" w:hAnsi="Arial" w:eastAsiaTheme="minorEastAsia"/>
        </w:rPr>
      </w:sdtEndPr>
      <w:sdtContent>
        <w:p>
          <w:pPr>
            <w:spacing w:line="360" w:lineRule="auto"/>
            <w:jc w:val="center"/>
            <w:rPr>
              <w:rFonts w:ascii="宋体" w:hAnsi="宋体" w:eastAsia="宋体"/>
              <w:b/>
              <w:sz w:val="32"/>
              <w:szCs w:val="32"/>
            </w:rPr>
          </w:pPr>
          <w:r>
            <w:rPr>
              <w:rFonts w:ascii="宋体" w:hAnsi="宋体" w:eastAsia="宋体" w:cs="宋体"/>
              <w:spacing w:val="-12"/>
              <w:kern w:val="0"/>
              <w:sz w:val="35"/>
              <w:szCs w:val="35"/>
              <w14:textOutline w14:w="6537" w14:cap="sq">
                <w14:solidFill>
                  <w14:srgbClr w14:val="000000"/>
                </w14:solidFill>
                <w14:bevel/>
              </w14:textOutline>
            </w:rPr>
            <w:t>目</w:t>
          </w:r>
          <w:r>
            <w:rPr>
              <w:rFonts w:hint="eastAsia" w:ascii="宋体" w:hAnsi="宋体" w:eastAsia="宋体" w:cs="宋体"/>
              <w:spacing w:val="-12"/>
              <w:kern w:val="0"/>
              <w:sz w:val="35"/>
              <w:szCs w:val="35"/>
              <w14:textOutline w14:w="6537" w14:cap="sq">
                <w14:solidFill>
                  <w14:srgbClr w14:val="000000"/>
                </w14:solidFill>
                <w14:bevel/>
              </w14:textOutline>
            </w:rPr>
            <w:t xml:space="preserve"> </w:t>
          </w:r>
          <w:r>
            <w:rPr>
              <w:rFonts w:hint="eastAsia" w:ascii="宋体" w:hAnsi="宋体" w:eastAsia="宋体" w:cs="宋体"/>
              <w:spacing w:val="-12"/>
              <w:kern w:val="0"/>
              <w:sz w:val="35"/>
              <w:szCs w:val="35"/>
              <w:lang w:val="en-US" w:eastAsia="zh-CN"/>
              <w14:textOutline w14:w="6537" w14:cap="sq">
                <w14:solidFill>
                  <w14:srgbClr w14:val="000000"/>
                </w14:solidFill>
                <w14:bevel/>
              </w14:textOutline>
            </w:rPr>
            <w:t xml:space="preserve"> </w:t>
          </w:r>
          <w:r>
            <w:rPr>
              <w:rFonts w:ascii="宋体" w:hAnsi="宋体" w:eastAsia="宋体" w:cs="宋体"/>
              <w:spacing w:val="-12"/>
              <w:kern w:val="0"/>
              <w:sz w:val="35"/>
              <w:szCs w:val="35"/>
              <w14:textOutline w14:w="6537" w14:cap="sq">
                <w14:solidFill>
                  <w14:srgbClr w14:val="000000"/>
                </w14:solidFill>
                <w14:bevel/>
              </w14:textOutline>
            </w:rPr>
            <w:t>录</w:t>
          </w:r>
        </w:p>
        <w:p>
          <w:pPr>
            <w:pStyle w:val="6"/>
            <w:keepNext w:val="0"/>
            <w:keepLines w:val="0"/>
            <w:pageBreakBefore w:val="0"/>
            <w:widowControl/>
            <w:tabs>
              <w:tab w:val="right" w:leader="dot" w:pos="8336"/>
            </w:tabs>
            <w:kinsoku w:val="0"/>
            <w:wordWrap/>
            <w:overflowPunct/>
            <w:topLinePunct w:val="0"/>
            <w:autoSpaceDE w:val="0"/>
            <w:autoSpaceDN w:val="0"/>
            <w:bidi w:val="0"/>
            <w:adjustRightInd w:val="0"/>
            <w:snapToGrid w:val="0"/>
            <w:spacing w:line="228" w:lineRule="auto"/>
            <w:textAlignment w:val="baseline"/>
          </w:pPr>
          <w:r>
            <w:fldChar w:fldCharType="begin"/>
          </w:r>
          <w:r>
            <w:instrText xml:space="preserve">TOC \o "1-3" \h \u </w:instrText>
          </w:r>
          <w:r>
            <w:fldChar w:fldCharType="separate"/>
          </w:r>
          <w:r>
            <w:rPr>
              <w:rFonts w:ascii="黑体" w:hAnsi="黑体" w:eastAsia="黑体" w:cs="黑体"/>
              <w:snapToGrid w:val="0"/>
              <w:color w:val="000000"/>
              <w:spacing w:val="3"/>
              <w:kern w:val="0"/>
              <w:sz w:val="23"/>
              <w:szCs w:val="23"/>
            </w:rPr>
            <w:fldChar w:fldCharType="begin"/>
          </w:r>
          <w:r>
            <w:rPr>
              <w:rFonts w:ascii="黑体" w:hAnsi="黑体" w:eastAsia="黑体" w:cs="黑体"/>
              <w:snapToGrid w:val="0"/>
              <w:color w:val="000000"/>
              <w:spacing w:val="3"/>
              <w:kern w:val="0"/>
              <w:sz w:val="23"/>
              <w:szCs w:val="23"/>
            </w:rPr>
            <w:instrText xml:space="preserve"> HYPERLINK \l "_Toc17538" </w:instrText>
          </w:r>
          <w:r>
            <w:rPr>
              <w:rFonts w:ascii="黑体" w:hAnsi="黑体" w:eastAsia="黑体" w:cs="黑体"/>
              <w:snapToGrid w:val="0"/>
              <w:color w:val="000000"/>
              <w:spacing w:val="3"/>
              <w:kern w:val="0"/>
              <w:sz w:val="23"/>
              <w:szCs w:val="23"/>
            </w:rPr>
            <w:fldChar w:fldCharType="separate"/>
          </w:r>
          <w:r>
            <w:rPr>
              <w:rFonts w:ascii="黑体" w:hAnsi="黑体" w:eastAsia="黑体" w:cs="黑体"/>
              <w:snapToGrid w:val="0"/>
              <w:color w:val="000000"/>
              <w:spacing w:val="3"/>
              <w:kern w:val="0"/>
              <w:sz w:val="23"/>
              <w:szCs w:val="23"/>
            </w:rPr>
            <w:t>导言</w:t>
          </w:r>
          <w:r>
            <w:tab/>
          </w:r>
          <w:r>
            <w:rPr>
              <w:rFonts w:ascii="黑体" w:hAnsi="黑体" w:eastAsia="黑体" w:cs="黑体"/>
              <w:snapToGrid w:val="0"/>
              <w:color w:val="000000"/>
              <w:spacing w:val="3"/>
              <w:kern w:val="0"/>
              <w:sz w:val="23"/>
              <w:szCs w:val="23"/>
            </w:rPr>
            <w:fldChar w:fldCharType="begin"/>
          </w:r>
          <w:r>
            <w:rPr>
              <w:rFonts w:ascii="黑体" w:hAnsi="黑体" w:eastAsia="黑体" w:cs="黑体"/>
              <w:snapToGrid w:val="0"/>
              <w:color w:val="000000"/>
              <w:spacing w:val="3"/>
              <w:kern w:val="0"/>
              <w:sz w:val="23"/>
              <w:szCs w:val="23"/>
            </w:rPr>
            <w:instrText xml:space="preserve"> PAGEREF _Toc17538 \h </w:instrText>
          </w:r>
          <w:r>
            <w:rPr>
              <w:rFonts w:ascii="黑体" w:hAnsi="黑体" w:eastAsia="黑体" w:cs="黑体"/>
              <w:snapToGrid w:val="0"/>
              <w:color w:val="000000"/>
              <w:spacing w:val="3"/>
              <w:kern w:val="0"/>
              <w:sz w:val="23"/>
              <w:szCs w:val="23"/>
            </w:rPr>
            <w:fldChar w:fldCharType="separate"/>
          </w:r>
          <w:r>
            <w:rPr>
              <w:rFonts w:ascii="黑体" w:hAnsi="黑体" w:eastAsia="黑体" w:cs="黑体"/>
              <w:snapToGrid w:val="0"/>
              <w:color w:val="000000"/>
              <w:spacing w:val="3"/>
              <w:kern w:val="0"/>
              <w:sz w:val="23"/>
              <w:szCs w:val="23"/>
            </w:rPr>
            <w:t>1</w:t>
          </w:r>
          <w:r>
            <w:rPr>
              <w:rFonts w:ascii="黑体" w:hAnsi="黑体" w:eastAsia="黑体" w:cs="黑体"/>
              <w:snapToGrid w:val="0"/>
              <w:color w:val="000000"/>
              <w:spacing w:val="3"/>
              <w:kern w:val="0"/>
              <w:sz w:val="23"/>
              <w:szCs w:val="23"/>
            </w:rPr>
            <w:fldChar w:fldCharType="end"/>
          </w:r>
          <w:r>
            <w:rPr>
              <w:rFonts w:ascii="黑体" w:hAnsi="黑体" w:eastAsia="黑体" w:cs="黑体"/>
              <w:snapToGrid w:val="0"/>
              <w:color w:val="000000"/>
              <w:spacing w:val="3"/>
              <w:kern w:val="0"/>
              <w:sz w:val="23"/>
              <w:szCs w:val="23"/>
            </w:rPr>
            <w:fldChar w:fldCharType="end"/>
          </w:r>
        </w:p>
        <w:p>
          <w:pPr>
            <w:pStyle w:val="6"/>
            <w:tabs>
              <w:tab w:val="right" w:leader="dot" w:pos="8336"/>
            </w:tabs>
            <w:spacing w:line="360" w:lineRule="auto"/>
          </w:pPr>
          <w:r>
            <w:fldChar w:fldCharType="begin"/>
          </w:r>
          <w:r>
            <w:instrText xml:space="preserve"> HYPERLINK \l "_Toc17391" </w:instrText>
          </w:r>
          <w:r>
            <w:fldChar w:fldCharType="separate"/>
          </w:r>
          <w:r>
            <w:rPr>
              <w:rFonts w:ascii="黑体" w:hAnsi="黑体" w:eastAsia="黑体" w:cs="黑体"/>
              <w:snapToGrid w:val="0"/>
              <w:color w:val="000000"/>
              <w:spacing w:val="-7"/>
              <w:kern w:val="0"/>
              <w:position w:val="2"/>
              <w:sz w:val="23"/>
              <w:szCs w:val="23"/>
            </w:rPr>
            <w:t>一、政府部门财务报表</w:t>
          </w:r>
          <w:r>
            <w:tab/>
          </w:r>
          <w:r>
            <w:fldChar w:fldCharType="begin"/>
          </w:r>
          <w:r>
            <w:instrText xml:space="preserve"> PAGEREF _Toc17391 \h </w:instrText>
          </w:r>
          <w:r>
            <w:fldChar w:fldCharType="separate"/>
          </w:r>
          <w:r>
            <w:t>3</w:t>
          </w:r>
          <w:r>
            <w:fldChar w:fldCharType="end"/>
          </w:r>
          <w:r>
            <w:fldChar w:fldCharType="end"/>
          </w:r>
        </w:p>
        <w:p>
          <w:pPr>
            <w:pStyle w:val="7"/>
            <w:tabs>
              <w:tab w:val="right" w:leader="dot" w:pos="8336"/>
            </w:tabs>
            <w:spacing w:line="360" w:lineRule="auto"/>
          </w:pPr>
          <w:r>
            <w:fldChar w:fldCharType="begin"/>
          </w:r>
          <w:r>
            <w:instrText xml:space="preserve"> HYPERLINK \l "_Toc20309" </w:instrText>
          </w:r>
          <w:r>
            <w:fldChar w:fldCharType="separate"/>
          </w:r>
          <w:r>
            <w:rPr>
              <w:rFonts w:hint="eastAsia" w:ascii="宋体" w:hAnsi="宋体" w:eastAsia="宋体" w:cs="宋体"/>
              <w:snapToGrid w:val="0"/>
              <w:color w:val="000000"/>
              <w:spacing w:val="-6"/>
              <w:kern w:val="0"/>
              <w:sz w:val="23"/>
              <w:szCs w:val="23"/>
            </w:rPr>
            <w:t>(一) 政府部门会计报表</w:t>
          </w:r>
          <w:r>
            <w:tab/>
          </w:r>
          <w:r>
            <w:fldChar w:fldCharType="begin"/>
          </w:r>
          <w:r>
            <w:instrText xml:space="preserve"> PAGEREF _Toc20309 \h </w:instrText>
          </w:r>
          <w:r>
            <w:fldChar w:fldCharType="separate"/>
          </w:r>
          <w:r>
            <w:t>3</w:t>
          </w:r>
          <w:r>
            <w:fldChar w:fldCharType="end"/>
          </w:r>
          <w:r>
            <w:fldChar w:fldCharType="end"/>
          </w:r>
        </w:p>
        <w:p>
          <w:pPr>
            <w:pStyle w:val="2"/>
            <w:tabs>
              <w:tab w:val="right" w:leader="dot" w:pos="8336"/>
            </w:tabs>
            <w:spacing w:line="360" w:lineRule="auto"/>
          </w:pPr>
          <w:r>
            <w:fldChar w:fldCharType="begin"/>
          </w:r>
          <w:r>
            <w:instrText xml:space="preserve"> HYPERLINK \l "_Toc14416" </w:instrText>
          </w:r>
          <w:r>
            <w:fldChar w:fldCharType="separate"/>
          </w:r>
          <w:r>
            <w:rPr>
              <w:rFonts w:hint="eastAsia" w:ascii="宋体" w:hAnsi="宋体" w:eastAsia="宋体" w:cs="宋体"/>
              <w:snapToGrid w:val="0"/>
              <w:color w:val="000000"/>
              <w:spacing w:val="-6"/>
              <w:kern w:val="0"/>
              <w:sz w:val="23"/>
              <w:szCs w:val="23"/>
              <w:lang w:val="en-US" w:eastAsia="zh-CN" w:bidi="ar-SA"/>
            </w:rPr>
            <w:t>资产负债表</w:t>
          </w:r>
          <w:r>
            <w:tab/>
          </w:r>
          <w:r>
            <w:fldChar w:fldCharType="begin"/>
          </w:r>
          <w:r>
            <w:instrText xml:space="preserve"> PAGEREF _Toc14416 \h </w:instrText>
          </w:r>
          <w:r>
            <w:fldChar w:fldCharType="separate"/>
          </w:r>
          <w:r>
            <w:t>3</w:t>
          </w:r>
          <w:r>
            <w:fldChar w:fldCharType="end"/>
          </w:r>
          <w:r>
            <w:fldChar w:fldCharType="end"/>
          </w:r>
        </w:p>
        <w:p>
          <w:pPr>
            <w:pStyle w:val="2"/>
            <w:tabs>
              <w:tab w:val="right" w:leader="dot" w:pos="8336"/>
            </w:tabs>
            <w:spacing w:line="360" w:lineRule="auto"/>
          </w:pPr>
          <w:r>
            <w:fldChar w:fldCharType="begin"/>
          </w:r>
          <w:r>
            <w:instrText xml:space="preserve"> HYPERLINK \l "_Toc9036" </w:instrText>
          </w:r>
          <w:r>
            <w:fldChar w:fldCharType="separate"/>
          </w:r>
          <w:r>
            <w:rPr>
              <w:rFonts w:hint="eastAsia" w:ascii="宋体" w:hAnsi="宋体" w:eastAsia="宋体" w:cs="宋体"/>
              <w:snapToGrid w:val="0"/>
              <w:color w:val="000000"/>
              <w:spacing w:val="-6"/>
              <w:kern w:val="0"/>
              <w:sz w:val="23"/>
              <w:szCs w:val="23"/>
              <w:lang w:val="en-US" w:eastAsia="zh-CN" w:bidi="ar-SA"/>
            </w:rPr>
            <w:t>收入费用表（1）</w:t>
          </w:r>
          <w:r>
            <w:tab/>
          </w:r>
          <w:r>
            <w:fldChar w:fldCharType="begin"/>
          </w:r>
          <w:r>
            <w:instrText xml:space="preserve"> PAGEREF _Toc9036 \h </w:instrText>
          </w:r>
          <w:r>
            <w:fldChar w:fldCharType="separate"/>
          </w:r>
          <w:r>
            <w:t>4</w:t>
          </w:r>
          <w:r>
            <w:fldChar w:fldCharType="end"/>
          </w:r>
          <w:r>
            <w:fldChar w:fldCharType="end"/>
          </w:r>
        </w:p>
        <w:p>
          <w:pPr>
            <w:pStyle w:val="2"/>
            <w:tabs>
              <w:tab w:val="right" w:leader="dot" w:pos="8336"/>
            </w:tabs>
            <w:spacing w:line="360" w:lineRule="auto"/>
          </w:pPr>
          <w:r>
            <w:fldChar w:fldCharType="begin"/>
          </w:r>
          <w:r>
            <w:instrText xml:space="preserve"> HYPERLINK \l "_Toc23099" </w:instrText>
          </w:r>
          <w:r>
            <w:fldChar w:fldCharType="separate"/>
          </w:r>
          <w:r>
            <w:rPr>
              <w:rFonts w:hint="eastAsia" w:ascii="宋体" w:hAnsi="宋体" w:eastAsia="宋体" w:cs="宋体"/>
              <w:snapToGrid w:val="0"/>
              <w:color w:val="000000"/>
              <w:spacing w:val="-6"/>
              <w:kern w:val="0"/>
              <w:sz w:val="23"/>
              <w:szCs w:val="23"/>
              <w:lang w:val="en-US" w:eastAsia="zh-CN" w:bidi="ar-SA"/>
            </w:rPr>
            <w:t>收入费用表（2）</w:t>
          </w:r>
          <w:r>
            <w:tab/>
          </w:r>
          <w:r>
            <w:fldChar w:fldCharType="begin"/>
          </w:r>
          <w:r>
            <w:instrText xml:space="preserve"> PAGEREF _Toc23099 \h </w:instrText>
          </w:r>
          <w:r>
            <w:fldChar w:fldCharType="separate"/>
          </w:r>
          <w:r>
            <w:t>5</w:t>
          </w:r>
          <w:r>
            <w:fldChar w:fldCharType="end"/>
          </w:r>
          <w:r>
            <w:fldChar w:fldCharType="end"/>
          </w:r>
        </w:p>
        <w:p>
          <w:pPr>
            <w:pStyle w:val="7"/>
            <w:tabs>
              <w:tab w:val="right" w:leader="dot" w:pos="8336"/>
            </w:tabs>
            <w:spacing w:line="360" w:lineRule="auto"/>
          </w:pPr>
          <w:r>
            <w:fldChar w:fldCharType="begin"/>
          </w:r>
          <w:r>
            <w:instrText xml:space="preserve"> HYPERLINK \l "_Toc20658" </w:instrText>
          </w:r>
          <w:r>
            <w:fldChar w:fldCharType="separate"/>
          </w:r>
          <w:r>
            <w:rPr>
              <w:rFonts w:hint="eastAsia" w:ascii="宋体" w:hAnsi="宋体" w:eastAsia="宋体" w:cs="宋体"/>
              <w:snapToGrid w:val="0"/>
              <w:color w:val="000000"/>
              <w:spacing w:val="-6"/>
              <w:kern w:val="0"/>
              <w:sz w:val="23"/>
              <w:szCs w:val="23"/>
              <w:lang w:val="en-US" w:eastAsia="zh-CN" w:bidi="ar-SA"/>
            </w:rPr>
            <w:t>(二) 政府部门会计报表附注</w:t>
          </w:r>
          <w:r>
            <w:tab/>
          </w:r>
          <w:r>
            <w:fldChar w:fldCharType="begin"/>
          </w:r>
          <w:r>
            <w:instrText xml:space="preserve"> PAGEREF _Toc20658 \h </w:instrText>
          </w:r>
          <w:r>
            <w:fldChar w:fldCharType="separate"/>
          </w:r>
          <w:r>
            <w:t>5</w:t>
          </w:r>
          <w:r>
            <w:fldChar w:fldCharType="end"/>
          </w:r>
          <w:r>
            <w:fldChar w:fldCharType="end"/>
          </w:r>
        </w:p>
        <w:p>
          <w:pPr>
            <w:pStyle w:val="2"/>
            <w:tabs>
              <w:tab w:val="right" w:leader="dot" w:pos="8336"/>
            </w:tabs>
            <w:spacing w:line="360" w:lineRule="auto"/>
          </w:pPr>
          <w:r>
            <w:fldChar w:fldCharType="begin"/>
          </w:r>
          <w:r>
            <w:instrText xml:space="preserve"> HYPERLINK \l "_Toc21169" </w:instrText>
          </w:r>
          <w:r>
            <w:fldChar w:fldCharType="separate"/>
          </w:r>
          <w:r>
            <w:rPr>
              <w:rFonts w:hint="eastAsia" w:ascii="宋体" w:hAnsi="宋体" w:eastAsia="宋体" w:cs="宋体"/>
              <w:snapToGrid w:val="0"/>
              <w:color w:val="000000"/>
              <w:spacing w:val="-6"/>
              <w:kern w:val="0"/>
              <w:sz w:val="23"/>
              <w:szCs w:val="23"/>
              <w:lang w:val="en-US" w:eastAsia="zh-CN" w:bidi="ar-SA"/>
            </w:rPr>
            <w:t>1.会计报表编制基础</w:t>
          </w:r>
          <w:r>
            <w:tab/>
          </w:r>
          <w:r>
            <w:fldChar w:fldCharType="begin"/>
          </w:r>
          <w:r>
            <w:instrText xml:space="preserve"> PAGEREF _Toc21169 \h </w:instrText>
          </w:r>
          <w:r>
            <w:fldChar w:fldCharType="separate"/>
          </w:r>
          <w:r>
            <w:t>5</w:t>
          </w:r>
          <w:r>
            <w:fldChar w:fldCharType="end"/>
          </w:r>
          <w:r>
            <w:fldChar w:fldCharType="end"/>
          </w:r>
        </w:p>
        <w:p>
          <w:pPr>
            <w:pStyle w:val="2"/>
            <w:tabs>
              <w:tab w:val="right" w:leader="dot" w:pos="8336"/>
            </w:tabs>
            <w:spacing w:line="360" w:lineRule="auto"/>
          </w:pPr>
          <w:r>
            <w:fldChar w:fldCharType="begin"/>
          </w:r>
          <w:r>
            <w:instrText xml:space="preserve"> HYPERLINK \l "_Toc14073" </w:instrText>
          </w:r>
          <w:r>
            <w:fldChar w:fldCharType="separate"/>
          </w:r>
          <w:r>
            <w:rPr>
              <w:rFonts w:hint="eastAsia" w:ascii="宋体" w:hAnsi="宋体" w:eastAsia="宋体" w:cs="宋体"/>
              <w:snapToGrid w:val="0"/>
              <w:color w:val="000000"/>
              <w:spacing w:val="-6"/>
              <w:kern w:val="0"/>
              <w:sz w:val="23"/>
              <w:szCs w:val="23"/>
              <w:lang w:val="en-US" w:eastAsia="zh-CN" w:bidi="ar-SA"/>
            </w:rPr>
            <w:t>2.遵循相关制度规定的声明</w:t>
          </w:r>
          <w:r>
            <w:tab/>
          </w:r>
          <w:r>
            <w:fldChar w:fldCharType="begin"/>
          </w:r>
          <w:r>
            <w:instrText xml:space="preserve"> PAGEREF _Toc14073 \h </w:instrText>
          </w:r>
          <w:r>
            <w:fldChar w:fldCharType="separate"/>
          </w:r>
          <w:r>
            <w:t>5</w:t>
          </w:r>
          <w:r>
            <w:fldChar w:fldCharType="end"/>
          </w:r>
          <w:r>
            <w:fldChar w:fldCharType="end"/>
          </w:r>
        </w:p>
        <w:p>
          <w:pPr>
            <w:pStyle w:val="2"/>
            <w:tabs>
              <w:tab w:val="right" w:leader="dot" w:pos="8336"/>
            </w:tabs>
            <w:spacing w:line="360" w:lineRule="auto"/>
          </w:pPr>
          <w:r>
            <w:fldChar w:fldCharType="begin"/>
          </w:r>
          <w:r>
            <w:instrText xml:space="preserve"> HYPERLINK \l "_Toc15366" </w:instrText>
          </w:r>
          <w:r>
            <w:fldChar w:fldCharType="separate"/>
          </w:r>
          <w:r>
            <w:rPr>
              <w:rFonts w:hint="eastAsia" w:ascii="宋体" w:hAnsi="宋体" w:eastAsia="宋体" w:cs="宋体"/>
              <w:snapToGrid w:val="0"/>
              <w:color w:val="000000"/>
              <w:spacing w:val="-6"/>
              <w:kern w:val="0"/>
              <w:sz w:val="23"/>
              <w:szCs w:val="23"/>
              <w:lang w:val="en-US" w:eastAsia="zh-CN" w:bidi="ar-SA"/>
            </w:rPr>
            <w:t>3.合并范围</w:t>
          </w:r>
          <w:r>
            <w:tab/>
          </w:r>
          <w:r>
            <w:fldChar w:fldCharType="begin"/>
          </w:r>
          <w:r>
            <w:instrText xml:space="preserve"> PAGEREF _Toc15366 \h </w:instrText>
          </w:r>
          <w:r>
            <w:fldChar w:fldCharType="separate"/>
          </w:r>
          <w:r>
            <w:t>5</w:t>
          </w:r>
          <w:r>
            <w:fldChar w:fldCharType="end"/>
          </w:r>
          <w:r>
            <w:fldChar w:fldCharType="end"/>
          </w:r>
        </w:p>
        <w:p>
          <w:pPr>
            <w:pStyle w:val="2"/>
            <w:tabs>
              <w:tab w:val="right" w:leader="dot" w:pos="8336"/>
            </w:tabs>
            <w:spacing w:line="360" w:lineRule="auto"/>
          </w:pPr>
          <w:r>
            <w:fldChar w:fldCharType="begin"/>
          </w:r>
          <w:r>
            <w:instrText xml:space="preserve"> HYPERLINK \l "_Toc1319" </w:instrText>
          </w:r>
          <w:r>
            <w:fldChar w:fldCharType="separate"/>
          </w:r>
          <w:r>
            <w:rPr>
              <w:rFonts w:hint="eastAsia" w:ascii="宋体" w:hAnsi="宋体" w:eastAsia="宋体" w:cs="宋体"/>
              <w:snapToGrid w:val="0"/>
              <w:color w:val="000000"/>
              <w:spacing w:val="-6"/>
              <w:kern w:val="0"/>
              <w:sz w:val="23"/>
              <w:szCs w:val="23"/>
              <w:lang w:val="en-US" w:eastAsia="zh-CN" w:bidi="ar-SA"/>
            </w:rPr>
            <w:t>4.重要会计政策与会计估计变更情况</w:t>
          </w:r>
          <w:r>
            <w:tab/>
          </w:r>
          <w:r>
            <w:fldChar w:fldCharType="begin"/>
          </w:r>
          <w:r>
            <w:instrText xml:space="preserve"> PAGEREF _Toc1319 \h </w:instrText>
          </w:r>
          <w:r>
            <w:fldChar w:fldCharType="separate"/>
          </w:r>
          <w:r>
            <w:t>5</w:t>
          </w:r>
          <w:r>
            <w:fldChar w:fldCharType="end"/>
          </w:r>
          <w:r>
            <w:fldChar w:fldCharType="end"/>
          </w:r>
        </w:p>
        <w:p>
          <w:pPr>
            <w:pStyle w:val="2"/>
            <w:tabs>
              <w:tab w:val="right" w:leader="dot" w:pos="8336"/>
            </w:tabs>
            <w:spacing w:line="360" w:lineRule="auto"/>
          </w:pPr>
          <w:r>
            <w:fldChar w:fldCharType="begin"/>
          </w:r>
          <w:r>
            <w:instrText xml:space="preserve"> HYPERLINK \l "_Toc5917" </w:instrText>
          </w:r>
          <w:r>
            <w:fldChar w:fldCharType="separate"/>
          </w:r>
          <w:r>
            <w:rPr>
              <w:rFonts w:hint="eastAsia" w:ascii="宋体" w:hAnsi="宋体" w:eastAsia="宋体" w:cs="宋体"/>
              <w:snapToGrid w:val="0"/>
              <w:color w:val="000000"/>
              <w:spacing w:val="-6"/>
              <w:kern w:val="0"/>
              <w:sz w:val="23"/>
              <w:szCs w:val="23"/>
              <w:lang w:val="en-US" w:eastAsia="zh-CN" w:bidi="ar-SA"/>
            </w:rPr>
            <w:t>5.会计报表重要项目的明细信息及说明</w:t>
          </w:r>
          <w:r>
            <w:tab/>
          </w:r>
          <w:r>
            <w:fldChar w:fldCharType="begin"/>
          </w:r>
          <w:r>
            <w:instrText xml:space="preserve"> PAGEREF _Toc5917 \h </w:instrText>
          </w:r>
          <w:r>
            <w:fldChar w:fldCharType="separate"/>
          </w:r>
          <w:r>
            <w:t>6</w:t>
          </w:r>
          <w:r>
            <w:fldChar w:fldCharType="end"/>
          </w:r>
          <w:r>
            <w:fldChar w:fldCharType="end"/>
          </w:r>
        </w:p>
        <w:p>
          <w:pPr>
            <w:pStyle w:val="2"/>
            <w:tabs>
              <w:tab w:val="right" w:leader="dot" w:pos="8336"/>
            </w:tabs>
            <w:spacing w:line="360" w:lineRule="auto"/>
          </w:pPr>
          <w:r>
            <w:fldChar w:fldCharType="begin"/>
          </w:r>
          <w:r>
            <w:instrText xml:space="preserve"> HYPERLINK \l "_Toc30369" </w:instrText>
          </w:r>
          <w:r>
            <w:fldChar w:fldCharType="separate"/>
          </w:r>
          <w:r>
            <w:rPr>
              <w:rFonts w:hint="eastAsia" w:ascii="宋体" w:hAnsi="宋体" w:eastAsia="宋体" w:cs="宋体"/>
              <w:snapToGrid w:val="0"/>
              <w:color w:val="000000"/>
              <w:spacing w:val="-6"/>
              <w:kern w:val="0"/>
              <w:sz w:val="23"/>
              <w:szCs w:val="23"/>
              <w:lang w:val="en-US" w:eastAsia="zh-CN" w:bidi="ar-SA"/>
            </w:rPr>
            <w:t>6. 需要说明的其他事项</w:t>
          </w:r>
          <w:r>
            <w:tab/>
          </w:r>
          <w:r>
            <w:fldChar w:fldCharType="begin"/>
          </w:r>
          <w:r>
            <w:instrText xml:space="preserve"> PAGEREF _Toc30369 \h </w:instrText>
          </w:r>
          <w:r>
            <w:fldChar w:fldCharType="separate"/>
          </w:r>
          <w:r>
            <w:t>9</w:t>
          </w:r>
          <w:r>
            <w:fldChar w:fldCharType="end"/>
          </w:r>
          <w:r>
            <w:fldChar w:fldCharType="end"/>
          </w:r>
        </w:p>
        <w:p>
          <w:pPr>
            <w:pStyle w:val="6"/>
            <w:tabs>
              <w:tab w:val="right" w:leader="dot" w:pos="8336"/>
            </w:tabs>
            <w:spacing w:line="360" w:lineRule="auto"/>
          </w:pPr>
          <w:r>
            <w:fldChar w:fldCharType="begin"/>
          </w:r>
          <w:r>
            <w:instrText xml:space="preserve"> HYPERLINK \l "_Toc16273" </w:instrText>
          </w:r>
          <w:r>
            <w:fldChar w:fldCharType="separate"/>
          </w:r>
          <w:r>
            <w:rPr>
              <w:rFonts w:ascii="黑体" w:hAnsi="黑体" w:eastAsia="黑体" w:cs="黑体"/>
              <w:snapToGrid w:val="0"/>
              <w:color w:val="000000"/>
              <w:spacing w:val="-7"/>
              <w:kern w:val="0"/>
              <w:position w:val="2"/>
              <w:sz w:val="23"/>
              <w:szCs w:val="23"/>
            </w:rPr>
            <w:t>二、  政府部门财务分析</w:t>
          </w:r>
          <w:r>
            <w:tab/>
          </w:r>
          <w:r>
            <w:fldChar w:fldCharType="begin"/>
          </w:r>
          <w:r>
            <w:instrText xml:space="preserve"> PAGEREF _Toc16273 \h </w:instrText>
          </w:r>
          <w:r>
            <w:fldChar w:fldCharType="separate"/>
          </w:r>
          <w:r>
            <w:t>11</w:t>
          </w:r>
          <w:r>
            <w:fldChar w:fldCharType="end"/>
          </w:r>
          <w:r>
            <w:fldChar w:fldCharType="end"/>
          </w:r>
        </w:p>
        <w:p>
          <w:pPr>
            <w:pStyle w:val="7"/>
            <w:tabs>
              <w:tab w:val="right" w:leader="dot" w:pos="8336"/>
            </w:tabs>
            <w:spacing w:line="360" w:lineRule="auto"/>
          </w:pPr>
          <w:r>
            <w:fldChar w:fldCharType="begin"/>
          </w:r>
          <w:r>
            <w:instrText xml:space="preserve"> HYPERLINK \l "_Toc30520" </w:instrText>
          </w:r>
          <w:r>
            <w:fldChar w:fldCharType="separate"/>
          </w:r>
          <w:r>
            <w:rPr>
              <w:rFonts w:hint="eastAsia" w:ascii="宋体" w:hAnsi="宋体" w:eastAsia="宋体" w:cs="宋体"/>
              <w:snapToGrid w:val="0"/>
              <w:color w:val="000000"/>
              <w:spacing w:val="-6"/>
              <w:kern w:val="0"/>
              <w:sz w:val="23"/>
              <w:szCs w:val="23"/>
              <w:lang w:val="en-US" w:eastAsia="zh-CN" w:bidi="ar-SA"/>
            </w:rPr>
            <w:t>(一) 政府部门工作目标完成情况</w:t>
          </w:r>
          <w:r>
            <w:tab/>
          </w:r>
          <w:r>
            <w:fldChar w:fldCharType="begin"/>
          </w:r>
          <w:r>
            <w:instrText xml:space="preserve"> PAGEREF _Toc30520 \h </w:instrText>
          </w:r>
          <w:r>
            <w:fldChar w:fldCharType="separate"/>
          </w:r>
          <w:r>
            <w:t>11</w:t>
          </w:r>
          <w:r>
            <w:fldChar w:fldCharType="end"/>
          </w:r>
          <w:r>
            <w:fldChar w:fldCharType="end"/>
          </w:r>
        </w:p>
        <w:p>
          <w:pPr>
            <w:pStyle w:val="7"/>
            <w:tabs>
              <w:tab w:val="right" w:leader="dot" w:pos="8336"/>
            </w:tabs>
            <w:spacing w:line="360" w:lineRule="auto"/>
          </w:pPr>
          <w:r>
            <w:fldChar w:fldCharType="begin"/>
          </w:r>
          <w:r>
            <w:instrText xml:space="preserve"> HYPERLINK \l "_Toc32269" </w:instrText>
          </w:r>
          <w:r>
            <w:fldChar w:fldCharType="separate"/>
          </w:r>
          <w:r>
            <w:rPr>
              <w:rFonts w:ascii="楷体" w:hAnsi="楷体" w:eastAsia="楷体" w:cs="楷体"/>
              <w:spacing w:val="-8"/>
              <w:szCs w:val="30"/>
            </w:rPr>
            <w:t>(</w:t>
          </w:r>
          <w:r>
            <w:rPr>
              <w:rFonts w:hint="eastAsia" w:ascii="宋体" w:hAnsi="宋体" w:eastAsia="宋体" w:cs="宋体"/>
              <w:snapToGrid w:val="0"/>
              <w:color w:val="000000"/>
              <w:spacing w:val="-6"/>
              <w:kern w:val="0"/>
              <w:sz w:val="23"/>
              <w:szCs w:val="23"/>
              <w:lang w:val="en-US" w:eastAsia="zh-CN" w:bidi="ar-SA"/>
            </w:rPr>
            <w:t>二) 政府部门财务状况分析</w:t>
          </w:r>
          <w:r>
            <w:tab/>
          </w:r>
          <w:r>
            <w:fldChar w:fldCharType="begin"/>
          </w:r>
          <w:r>
            <w:instrText xml:space="preserve"> PAGEREF _Toc32269 \h </w:instrText>
          </w:r>
          <w:r>
            <w:fldChar w:fldCharType="separate"/>
          </w:r>
          <w:r>
            <w:t>11</w:t>
          </w:r>
          <w:r>
            <w:fldChar w:fldCharType="end"/>
          </w:r>
          <w:r>
            <w:fldChar w:fldCharType="end"/>
          </w:r>
        </w:p>
        <w:p>
          <w:pPr>
            <w:pStyle w:val="7"/>
            <w:tabs>
              <w:tab w:val="right" w:leader="dot" w:pos="8336"/>
            </w:tabs>
            <w:spacing w:line="360" w:lineRule="auto"/>
          </w:pPr>
          <w:r>
            <w:fldChar w:fldCharType="begin"/>
          </w:r>
          <w:r>
            <w:instrText xml:space="preserve"> HYPERLINK \l "_Toc28834" </w:instrText>
          </w:r>
          <w:r>
            <w:fldChar w:fldCharType="separate"/>
          </w:r>
          <w:r>
            <w:rPr>
              <w:rFonts w:hint="eastAsia" w:ascii="宋体" w:hAnsi="宋体" w:eastAsia="宋体" w:cs="宋体"/>
              <w:snapToGrid w:val="0"/>
              <w:color w:val="000000"/>
              <w:spacing w:val="-6"/>
              <w:kern w:val="0"/>
              <w:sz w:val="23"/>
              <w:szCs w:val="23"/>
              <w:lang w:val="en-US" w:eastAsia="zh-CN" w:bidi="ar-SA"/>
            </w:rPr>
            <w:t>(三) 政府部门运行情况分析</w:t>
          </w:r>
          <w:r>
            <w:tab/>
          </w:r>
          <w:r>
            <w:fldChar w:fldCharType="begin"/>
          </w:r>
          <w:r>
            <w:instrText xml:space="preserve"> PAGEREF _Toc28834 \h </w:instrText>
          </w:r>
          <w:r>
            <w:fldChar w:fldCharType="separate"/>
          </w:r>
          <w:r>
            <w:t>11</w:t>
          </w:r>
          <w:r>
            <w:fldChar w:fldCharType="end"/>
          </w:r>
          <w:r>
            <w:fldChar w:fldCharType="end"/>
          </w:r>
        </w:p>
        <w:p>
          <w:pPr>
            <w:pStyle w:val="7"/>
            <w:tabs>
              <w:tab w:val="right" w:leader="dot" w:pos="8336"/>
            </w:tabs>
            <w:spacing w:line="360" w:lineRule="auto"/>
          </w:pPr>
          <w:r>
            <w:fldChar w:fldCharType="begin"/>
          </w:r>
          <w:r>
            <w:instrText xml:space="preserve"> HYPERLINK \l "_Toc4695" </w:instrText>
          </w:r>
          <w:r>
            <w:fldChar w:fldCharType="separate"/>
          </w:r>
          <w:r>
            <w:rPr>
              <w:rFonts w:hint="eastAsia" w:ascii="宋体" w:hAnsi="宋体" w:eastAsia="宋体" w:cs="宋体"/>
              <w:snapToGrid w:val="0"/>
              <w:color w:val="000000"/>
              <w:spacing w:val="-6"/>
              <w:kern w:val="0"/>
              <w:sz w:val="23"/>
              <w:szCs w:val="23"/>
              <w:lang w:val="en-US" w:eastAsia="zh-CN" w:bidi="ar-SA"/>
            </w:rPr>
            <w:t>(四) 政府部门财务管理情况</w:t>
          </w:r>
          <w:r>
            <w:tab/>
          </w:r>
          <w:r>
            <w:fldChar w:fldCharType="begin"/>
          </w:r>
          <w:r>
            <w:instrText xml:space="preserve"> PAGEREF _Toc4695 \h </w:instrText>
          </w:r>
          <w:r>
            <w:fldChar w:fldCharType="separate"/>
          </w:r>
          <w:r>
            <w:t>12</w:t>
          </w:r>
          <w:r>
            <w:fldChar w:fldCharType="end"/>
          </w:r>
          <w:r>
            <w:fldChar w:fldCharType="end"/>
          </w:r>
        </w:p>
        <w:p>
          <w:pPr>
            <w:spacing w:line="360" w:lineRule="auto"/>
          </w:pPr>
          <w:r>
            <w:fldChar w:fldCharType="end"/>
          </w:r>
        </w:p>
      </w:sdtContent>
    </w:sdt>
    <w:p>
      <w:pPr>
        <w:sectPr>
          <w:footerReference r:id="rId4" w:type="default"/>
          <w:pgSz w:w="11906" w:h="16839"/>
          <w:pgMar w:top="1431" w:right="1785" w:bottom="400" w:left="1785" w:header="0" w:footer="0" w:gutter="0"/>
          <w:pgNumType w:start="1"/>
          <w:cols w:space="720" w:num="1"/>
        </w:sectPr>
      </w:pPr>
    </w:p>
    <w:p>
      <w:pPr>
        <w:spacing w:line="263" w:lineRule="auto"/>
        <w:jc w:val="left"/>
      </w:pPr>
    </w:p>
    <w:p>
      <w:pPr>
        <w:spacing w:line="263" w:lineRule="auto"/>
        <w:jc w:val="left"/>
      </w:pPr>
    </w:p>
    <w:p>
      <w:pPr>
        <w:spacing w:line="263" w:lineRule="auto"/>
        <w:jc w:val="left"/>
      </w:pPr>
    </w:p>
    <w:p>
      <w:pPr>
        <w:spacing w:line="360" w:lineRule="auto"/>
      </w:pPr>
    </w:p>
    <w:p>
      <w:pPr>
        <w:spacing w:before="94" w:line="360" w:lineRule="auto"/>
        <w:ind w:left="3733"/>
        <w:outlineLvl w:val="0"/>
        <w:rPr>
          <w:rFonts w:ascii="黑体" w:hAnsi="黑体" w:eastAsia="黑体" w:cs="黑体"/>
          <w:spacing w:val="8"/>
          <w:sz w:val="29"/>
          <w:szCs w:val="29"/>
        </w:rPr>
      </w:pPr>
      <w:bookmarkStart w:id="4" w:name="_bookmark5"/>
      <w:bookmarkEnd w:id="4"/>
      <w:bookmarkStart w:id="5" w:name="_Toc17538"/>
      <w:r>
        <w:rPr>
          <w:rFonts w:ascii="黑体" w:hAnsi="黑体" w:eastAsia="黑体" w:cs="黑体"/>
          <w:spacing w:val="8"/>
          <w:sz w:val="29"/>
          <w:szCs w:val="29"/>
        </w:rPr>
        <w:t>导  言</w:t>
      </w:r>
      <w:bookmarkEnd w:id="5"/>
    </w:p>
    <w:p>
      <w:pPr>
        <w:spacing w:line="263" w:lineRule="auto"/>
        <w:jc w:val="left"/>
      </w:pPr>
    </w:p>
    <w:p>
      <w:pPr>
        <w:spacing w:line="263" w:lineRule="auto"/>
        <w:jc w:val="left"/>
      </w:pPr>
    </w:p>
    <w:p>
      <w:pPr>
        <w:keepNext w:val="0"/>
        <w:keepLines w:val="0"/>
        <w:pageBreakBefore w:val="0"/>
        <w:widowControl/>
        <w:kinsoku w:val="0"/>
        <w:wordWrap/>
        <w:overflowPunct/>
        <w:topLinePunct w:val="0"/>
        <w:autoSpaceDE w:val="0"/>
        <w:autoSpaceDN w:val="0"/>
        <w:bidi w:val="0"/>
        <w:adjustRightInd w:val="0"/>
        <w:snapToGrid w:val="0"/>
        <w:spacing w:before="95" w:line="396" w:lineRule="auto"/>
        <w:ind w:left="15" w:leftChars="7" w:right="11" w:firstLine="652" w:firstLineChars="200"/>
        <w:textAlignment w:val="baseline"/>
        <w:rPr>
          <w:rFonts w:ascii="宋体" w:hAnsi="宋体" w:eastAsia="宋体" w:cs="仿宋"/>
          <w:sz w:val="24"/>
          <w:szCs w:val="24"/>
        </w:rPr>
      </w:pPr>
      <w:r>
        <w:rPr>
          <w:rFonts w:ascii="仿宋" w:hAnsi="仿宋" w:eastAsia="仿宋" w:cs="仿宋"/>
          <w:spacing w:val="18"/>
          <w:sz w:val="29"/>
          <w:szCs w:val="29"/>
        </w:rPr>
        <w:t>为</w:t>
      </w:r>
      <w:r>
        <w:rPr>
          <w:rFonts w:ascii="仿宋" w:hAnsi="仿宋" w:eastAsia="仿宋" w:cs="仿宋"/>
          <w:spacing w:val="10"/>
          <w:sz w:val="29"/>
          <w:szCs w:val="29"/>
        </w:rPr>
        <w:t>全</w:t>
      </w:r>
      <w:r>
        <w:rPr>
          <w:rFonts w:ascii="仿宋" w:hAnsi="仿宋" w:eastAsia="仿宋" w:cs="仿宋"/>
          <w:spacing w:val="9"/>
          <w:sz w:val="29"/>
          <w:szCs w:val="29"/>
        </w:rPr>
        <w:t>面反映本部门财务状况和运行情况，</w:t>
      </w:r>
      <w:bookmarkStart w:id="6" w:name="DY_AGENCY_NAME_3"/>
      <w:r>
        <w:rPr>
          <w:rFonts w:ascii="仿宋" w:hAnsi="仿宋" w:eastAsia="仿宋" w:cs="仿宋"/>
          <w:spacing w:val="9"/>
          <w:kern w:val="0"/>
          <w:sz w:val="29"/>
          <w:szCs w:val="29"/>
        </w:rPr>
        <w:t>古丈县自然资源局</w:t>
      </w:r>
      <w:bookmarkEnd w:id="6"/>
      <w:r>
        <w:rPr>
          <w:rFonts w:ascii="仿宋" w:hAnsi="仿宋" w:eastAsia="仿宋" w:cs="仿宋"/>
          <w:spacing w:val="9"/>
          <w:sz w:val="29"/>
          <w:szCs w:val="29"/>
        </w:rPr>
        <w:t>组织编</w:t>
      </w:r>
      <w:r>
        <w:rPr>
          <w:rFonts w:hint="eastAsia" w:ascii="仿宋" w:hAnsi="仿宋" w:eastAsia="仿宋" w:cs="仿宋"/>
          <w:spacing w:val="9"/>
          <w:sz w:val="29"/>
          <w:szCs w:val="29"/>
          <w:lang w:val="en-US" w:eastAsia="zh-CN"/>
        </w:rPr>
        <w:t>制</w:t>
      </w:r>
      <w:r>
        <w:rPr>
          <w:rFonts w:ascii="仿宋" w:hAnsi="仿宋" w:eastAsia="仿宋" w:cs="仿宋"/>
          <w:spacing w:val="9"/>
          <w:kern w:val="0"/>
          <w:sz w:val="29"/>
          <w:szCs w:val="29"/>
        </w:rPr>
        <w:t>了《</w:t>
      </w:r>
      <w:bookmarkStart w:id="7" w:name="DY_SET_YEAR_2"/>
      <w:r>
        <w:rPr>
          <w:rFonts w:hint="eastAsia" w:ascii="仿宋" w:hAnsi="仿宋" w:eastAsia="仿宋" w:cs="仿宋"/>
          <w:spacing w:val="9"/>
          <w:kern w:val="0"/>
          <w:sz w:val="29"/>
          <w:szCs w:val="29"/>
        </w:rPr>
        <w:t>2022</w:t>
      </w:r>
      <w:bookmarkEnd w:id="7"/>
      <w:r>
        <w:rPr>
          <w:rFonts w:ascii="仿宋" w:hAnsi="仿宋" w:eastAsia="仿宋" w:cs="仿宋"/>
          <w:spacing w:val="9"/>
          <w:kern w:val="0"/>
          <w:sz w:val="29"/>
          <w:szCs w:val="29"/>
        </w:rPr>
        <w:t>年度</w:t>
      </w:r>
      <w:bookmarkStart w:id="8" w:name="DY_AGENCY_NAME_4"/>
      <w:r>
        <w:rPr>
          <w:rFonts w:hint="eastAsia" w:ascii="仿宋" w:hAnsi="仿宋" w:eastAsia="仿宋" w:cs="仿宋"/>
          <w:spacing w:val="9"/>
          <w:kern w:val="0"/>
          <w:sz w:val="29"/>
          <w:szCs w:val="29"/>
        </w:rPr>
        <w:t>古丈县自然资源局</w:t>
      </w:r>
      <w:bookmarkEnd w:id="8"/>
      <w:r>
        <w:rPr>
          <w:rFonts w:ascii="仿宋" w:hAnsi="仿宋" w:eastAsia="仿宋" w:cs="仿宋"/>
          <w:spacing w:val="9"/>
          <w:kern w:val="0"/>
          <w:sz w:val="29"/>
          <w:szCs w:val="29"/>
        </w:rPr>
        <w:t>财务报告》(以下简称《报告》)。</w:t>
      </w:r>
      <w:bookmarkStart w:id="9" w:name="DY_BGJYSM"/>
      <w:r>
        <w:rPr>
          <w:rFonts w:hint="eastAsia" w:ascii="仿宋" w:hAnsi="仿宋" w:eastAsia="仿宋" w:cs="仿宋"/>
          <w:spacing w:val="9"/>
          <w:kern w:val="0"/>
          <w:sz w:val="29"/>
          <w:szCs w:val="29"/>
        </w:rPr>
        <w:t>无</w:t>
      </w:r>
      <w:bookmarkEnd w:id="9"/>
      <w:r>
        <w:rPr>
          <w:rFonts w:ascii="仿宋" w:hAnsi="仿宋" w:eastAsia="仿宋" w:cs="仿宋"/>
          <w:spacing w:val="9"/>
          <w:kern w:val="0"/>
          <w:sz w:val="29"/>
          <w:szCs w:val="29"/>
        </w:rPr>
        <w:t>，简要情况如下</w:t>
      </w:r>
      <w:r>
        <w:rPr>
          <w:rFonts w:ascii="宋体" w:hAnsi="宋体" w:eastAsia="宋体" w:cs="仿宋"/>
          <w:spacing w:val="6"/>
          <w:sz w:val="24"/>
          <w:szCs w:val="24"/>
        </w:rPr>
        <w:t>：</w:t>
      </w:r>
    </w:p>
    <w:p>
      <w:pPr>
        <w:spacing w:line="224" w:lineRule="auto"/>
        <w:ind w:left="619"/>
        <w:jc w:val="left"/>
        <w:rPr>
          <w:rFonts w:ascii="楷体" w:hAnsi="楷体" w:eastAsia="楷体" w:cs="楷体"/>
          <w:spacing w:val="-18"/>
          <w:kern w:val="0"/>
          <w:sz w:val="29"/>
          <w:szCs w:val="29"/>
        </w:rPr>
      </w:pPr>
      <w:r>
        <w:rPr>
          <w:rFonts w:ascii="楷体" w:hAnsi="楷体" w:eastAsia="楷体" w:cs="楷体"/>
          <w:spacing w:val="-18"/>
          <w:kern w:val="0"/>
          <w:sz w:val="29"/>
          <w:szCs w:val="29"/>
        </w:rPr>
        <w:t>(</w:t>
      </w:r>
      <w:r>
        <w:rPr>
          <w:rFonts w:hint="eastAsia" w:ascii="楷体" w:hAnsi="楷体" w:eastAsia="楷体" w:cs="楷体"/>
          <w:spacing w:val="-18"/>
          <w:kern w:val="0"/>
          <w:sz w:val="29"/>
          <w:szCs w:val="29"/>
          <w:lang w:val="en-US" w:eastAsia="zh-CN"/>
        </w:rPr>
        <w:t>一</w:t>
      </w:r>
      <w:r>
        <w:rPr>
          <w:rFonts w:ascii="楷体" w:hAnsi="楷体" w:eastAsia="楷体" w:cs="楷体"/>
          <w:spacing w:val="-18"/>
          <w:kern w:val="0"/>
          <w:sz w:val="29"/>
          <w:szCs w:val="29"/>
        </w:rPr>
        <w:t>)《报告》编制基本情况</w:t>
      </w:r>
    </w:p>
    <w:p>
      <w:pPr>
        <w:keepNext w:val="0"/>
        <w:keepLines w:val="0"/>
        <w:pageBreakBefore w:val="0"/>
        <w:widowControl/>
        <w:kinsoku w:val="0"/>
        <w:wordWrap/>
        <w:overflowPunct/>
        <w:topLinePunct w:val="0"/>
        <w:autoSpaceDE w:val="0"/>
        <w:autoSpaceDN w:val="0"/>
        <w:bidi w:val="0"/>
        <w:adjustRightInd w:val="0"/>
        <w:snapToGrid w:val="0"/>
        <w:spacing w:before="212" w:line="396" w:lineRule="auto"/>
        <w:ind w:right="11" w:firstLine="616" w:firstLineChars="200"/>
        <w:jc w:val="left"/>
        <w:textAlignment w:val="baseline"/>
        <w:rPr>
          <w:rFonts w:ascii="仿宋" w:hAnsi="仿宋" w:eastAsia="仿宋" w:cs="仿宋"/>
          <w:spacing w:val="9"/>
          <w:kern w:val="0"/>
          <w:sz w:val="29"/>
          <w:szCs w:val="29"/>
        </w:rPr>
      </w:pPr>
      <w:r>
        <w:rPr>
          <w:rFonts w:ascii="仿宋" w:hAnsi="仿宋" w:eastAsia="仿宋" w:cs="仿宋"/>
          <w:spacing w:val="9"/>
          <w:kern w:val="0"/>
          <w:sz w:val="29"/>
          <w:szCs w:val="29"/>
        </w:rPr>
        <w:t>按照《财政部关于印发＜政府财务报告编制办法(试行)＞的通知》（财库〔2015〕212号）、《财政部关于修订印发＜政府部门财务报告编制操作指南(试行)＞的通知》（财库〔2018〕29号）规定，以权责发生制为基础编制2022年度政府部门财务报告。</w:t>
      </w:r>
    </w:p>
    <w:p>
      <w:pPr>
        <w:spacing w:line="222" w:lineRule="auto"/>
        <w:ind w:left="619"/>
        <w:jc w:val="left"/>
        <w:rPr>
          <w:rFonts w:ascii="楷体" w:hAnsi="楷体" w:eastAsia="楷体" w:cs="楷体"/>
          <w:spacing w:val="20"/>
          <w:kern w:val="0"/>
          <w:sz w:val="29"/>
          <w:szCs w:val="29"/>
        </w:rPr>
      </w:pPr>
      <w:r>
        <w:rPr>
          <w:rFonts w:ascii="楷体" w:hAnsi="楷体" w:eastAsia="楷体" w:cs="楷体"/>
          <w:spacing w:val="20"/>
          <w:kern w:val="0"/>
          <w:sz w:val="29"/>
          <w:szCs w:val="29"/>
        </w:rPr>
        <w:t>(二) 本部门财务状况和运行情况</w:t>
      </w:r>
    </w:p>
    <w:p>
      <w:pPr>
        <w:keepNext w:val="0"/>
        <w:keepLines w:val="0"/>
        <w:pageBreakBefore w:val="0"/>
        <w:widowControl/>
        <w:kinsoku w:val="0"/>
        <w:wordWrap/>
        <w:overflowPunct/>
        <w:topLinePunct w:val="0"/>
        <w:autoSpaceDE w:val="0"/>
        <w:autoSpaceDN w:val="0"/>
        <w:bidi w:val="0"/>
        <w:adjustRightInd w:val="0"/>
        <w:snapToGrid w:val="0"/>
        <w:spacing w:before="180" w:beforeLines="75" w:line="224" w:lineRule="auto"/>
        <w:ind w:left="618"/>
        <w:textAlignment w:val="baseline"/>
        <w:rPr>
          <w:rFonts w:hint="eastAsia" w:ascii="仿宋" w:hAnsi="仿宋" w:eastAsia="仿宋" w:cs="仿宋"/>
          <w:b/>
          <w:bCs/>
          <w:spacing w:val="6"/>
          <w:sz w:val="28"/>
          <w:szCs w:val="28"/>
        </w:rPr>
      </w:pPr>
      <w:r>
        <w:rPr>
          <w:rFonts w:hint="eastAsia" w:ascii="仿宋" w:hAnsi="仿宋" w:eastAsia="仿宋" w:cs="仿宋"/>
          <w:b/>
          <w:bCs/>
          <w:spacing w:val="6"/>
          <w:sz w:val="28"/>
          <w:szCs w:val="28"/>
        </w:rPr>
        <w:t>1.资产负债情况。</w:t>
      </w:r>
    </w:p>
    <w:p>
      <w:pPr>
        <w:keepNext w:val="0"/>
        <w:keepLines w:val="0"/>
        <w:pageBreakBefore w:val="0"/>
        <w:widowControl/>
        <w:kinsoku w:val="0"/>
        <w:wordWrap/>
        <w:overflowPunct/>
        <w:topLinePunct w:val="0"/>
        <w:autoSpaceDE w:val="0"/>
        <w:autoSpaceDN w:val="0"/>
        <w:bidi w:val="0"/>
        <w:adjustRightInd w:val="0"/>
        <w:snapToGrid w:val="0"/>
        <w:spacing w:before="212" w:line="396" w:lineRule="auto"/>
        <w:ind w:right="11" w:firstLine="616" w:firstLineChars="200"/>
        <w:jc w:val="left"/>
        <w:textAlignment w:val="baseline"/>
        <w:rPr>
          <w:rFonts w:hint="eastAsia" w:ascii="仿宋" w:hAnsi="仿宋" w:eastAsia="仿宋" w:cs="仿宋"/>
          <w:spacing w:val="9"/>
          <w:kern w:val="0"/>
          <w:sz w:val="29"/>
          <w:szCs w:val="29"/>
        </w:rPr>
      </w:pPr>
      <w:r>
        <w:rPr>
          <w:rFonts w:hint="eastAsia" w:ascii="仿宋" w:hAnsi="仿宋" w:eastAsia="仿宋" w:cs="仿宋"/>
          <w:spacing w:val="9"/>
          <w:kern w:val="0"/>
          <w:sz w:val="29"/>
          <w:szCs w:val="29"/>
        </w:rPr>
        <w:t>2022年末部门资产总额5011.07万元、负债总额1507.21万元、净资产总额3503.86万元。资产负债率为30.08%，较上年增长0个百分点，表明单位本级的国有资产呈现资产总量相对稳定的特点。</w:t>
      </w:r>
    </w:p>
    <w:p>
      <w:pPr>
        <w:keepNext w:val="0"/>
        <w:keepLines w:val="0"/>
        <w:pageBreakBefore w:val="0"/>
        <w:widowControl/>
        <w:kinsoku w:val="0"/>
        <w:wordWrap/>
        <w:overflowPunct/>
        <w:topLinePunct w:val="0"/>
        <w:autoSpaceDE w:val="0"/>
        <w:autoSpaceDN w:val="0"/>
        <w:bidi w:val="0"/>
        <w:adjustRightInd w:val="0"/>
        <w:snapToGrid w:val="0"/>
        <w:spacing w:before="0" w:line="396" w:lineRule="auto"/>
        <w:ind w:left="40" w:firstLine="624" w:firstLineChars="200"/>
        <w:textAlignment w:val="baseline"/>
        <w:rPr>
          <w:rFonts w:ascii="仿宋" w:hAnsi="仿宋" w:eastAsia="仿宋" w:cs="仿宋"/>
          <w:spacing w:val="11"/>
          <w:kern w:val="0"/>
          <w:sz w:val="29"/>
          <w:szCs w:val="29"/>
        </w:rPr>
      </w:pPr>
      <w:r>
        <w:rPr>
          <w:rFonts w:ascii="仿宋" w:hAnsi="仿宋" w:eastAsia="仿宋" w:cs="仿宋"/>
          <w:spacing w:val="11"/>
          <w:kern w:val="0"/>
          <w:sz w:val="29"/>
          <w:szCs w:val="29"/>
        </w:rPr>
        <w:t>（1）本部门资产主要包括本部门资产主要包括本部门资产主要包括本部门资产主要包括流动资产，非流动资产。流动资产4,483.84万元，占比100%，非流动资产527.23万元，占比3.25%。</w:t>
      </w:r>
    </w:p>
    <w:p>
      <w:pPr>
        <w:keepNext w:val="0"/>
        <w:keepLines w:val="0"/>
        <w:pageBreakBefore w:val="0"/>
        <w:widowControl/>
        <w:kinsoku w:val="0"/>
        <w:wordWrap/>
        <w:overflowPunct/>
        <w:topLinePunct w:val="0"/>
        <w:autoSpaceDE w:val="0"/>
        <w:autoSpaceDN w:val="0"/>
        <w:bidi w:val="0"/>
        <w:adjustRightInd w:val="0"/>
        <w:snapToGrid w:val="0"/>
        <w:spacing w:before="0" w:line="396" w:lineRule="auto"/>
        <w:ind w:left="40" w:firstLine="624" w:firstLineChars="200"/>
        <w:textAlignment w:val="baseline"/>
        <w:rPr>
          <w:rFonts w:ascii="仿宋" w:hAnsi="仿宋" w:eastAsia="仿宋" w:cs="仿宋"/>
          <w:spacing w:val="11"/>
          <w:kern w:val="0"/>
          <w:sz w:val="29"/>
          <w:szCs w:val="29"/>
        </w:rPr>
      </w:pPr>
      <w:r>
        <w:rPr>
          <w:rFonts w:ascii="仿宋" w:hAnsi="仿宋" w:eastAsia="仿宋" w:cs="仿宋"/>
          <w:spacing w:val="11"/>
          <w:kern w:val="0"/>
          <w:sz w:val="29"/>
          <w:szCs w:val="29"/>
        </w:rPr>
        <w:t>（2）本部门负债主要包括本部门负债主要包括本部门负债主要包括本部门负债主要包括流动负债。流动负债1,507.21万元，占比100%。</w:t>
      </w:r>
    </w:p>
    <w:p>
      <w:pPr>
        <w:keepNext w:val="0"/>
        <w:keepLines w:val="0"/>
        <w:pageBreakBefore w:val="0"/>
        <w:widowControl/>
        <w:kinsoku w:val="0"/>
        <w:wordWrap/>
        <w:overflowPunct/>
        <w:topLinePunct w:val="0"/>
        <w:autoSpaceDE w:val="0"/>
        <w:autoSpaceDN w:val="0"/>
        <w:bidi w:val="0"/>
        <w:adjustRightInd w:val="0"/>
        <w:snapToGrid w:val="0"/>
        <w:spacing w:line="224" w:lineRule="auto"/>
        <w:ind w:left="618"/>
        <w:textAlignment w:val="baseline"/>
        <w:rPr>
          <w:rFonts w:hint="eastAsia" w:ascii="仿宋" w:hAnsi="仿宋" w:eastAsia="仿宋" w:cs="仿宋"/>
          <w:b/>
          <w:bCs/>
          <w:spacing w:val="6"/>
          <w:sz w:val="28"/>
          <w:szCs w:val="28"/>
        </w:rPr>
      </w:pPr>
      <w:r>
        <w:rPr>
          <w:rFonts w:hint="eastAsia" w:ascii="仿宋" w:hAnsi="仿宋" w:eastAsia="仿宋" w:cs="仿宋"/>
          <w:b/>
          <w:bCs/>
          <w:spacing w:val="6"/>
          <w:sz w:val="28"/>
          <w:szCs w:val="28"/>
        </w:rPr>
        <w:t>2. 收入费用情况。</w:t>
      </w:r>
    </w:p>
    <w:p>
      <w:pPr>
        <w:keepNext w:val="0"/>
        <w:keepLines w:val="0"/>
        <w:pageBreakBefore w:val="0"/>
        <w:widowControl/>
        <w:kinsoku w:val="0"/>
        <w:wordWrap/>
        <w:overflowPunct/>
        <w:topLinePunct w:val="0"/>
        <w:autoSpaceDE w:val="0"/>
        <w:autoSpaceDN w:val="0"/>
        <w:bidi w:val="0"/>
        <w:adjustRightInd w:val="0"/>
        <w:snapToGrid w:val="0"/>
        <w:spacing w:before="144" w:beforeLines="60" w:line="396" w:lineRule="auto"/>
        <w:ind w:left="40" w:firstLine="624" w:firstLineChars="200"/>
        <w:textAlignment w:val="baseline"/>
        <w:rPr>
          <w:rFonts w:ascii="仿宋" w:hAnsi="仿宋" w:eastAsia="仿宋" w:cs="仿宋"/>
          <w:spacing w:val="11"/>
          <w:kern w:val="0"/>
          <w:sz w:val="29"/>
          <w:szCs w:val="29"/>
        </w:rPr>
      </w:pPr>
      <w:r>
        <w:rPr>
          <w:rFonts w:ascii="仿宋" w:hAnsi="仿宋" w:eastAsia="仿宋" w:cs="仿宋"/>
          <w:spacing w:val="11"/>
          <w:kern w:val="0"/>
          <w:sz w:val="29"/>
          <w:szCs w:val="29"/>
        </w:rPr>
        <w:t>2022年度部门收入总额3376.47万元，费用总额6371.29万元，收入费用相抵后本年盈余-2994.82万元。收入费用率为188.7%，较上年增长0个百分点，表明单位本级费用方面持续稳定的发展趋势。</w:t>
      </w:r>
    </w:p>
    <w:p>
      <w:pPr>
        <w:keepNext w:val="0"/>
        <w:keepLines w:val="0"/>
        <w:pageBreakBefore w:val="0"/>
        <w:widowControl/>
        <w:kinsoku w:val="0"/>
        <w:wordWrap/>
        <w:overflowPunct/>
        <w:topLinePunct w:val="0"/>
        <w:autoSpaceDE w:val="0"/>
        <w:autoSpaceDN w:val="0"/>
        <w:bidi w:val="0"/>
        <w:adjustRightInd w:val="0"/>
        <w:snapToGrid w:val="0"/>
        <w:spacing w:before="0" w:line="396" w:lineRule="auto"/>
        <w:ind w:left="40" w:firstLine="624" w:firstLineChars="200"/>
        <w:textAlignment w:val="baseline"/>
        <w:rPr>
          <w:rFonts w:ascii="仿宋" w:hAnsi="仿宋" w:eastAsia="仿宋" w:cs="仿宋"/>
          <w:spacing w:val="11"/>
          <w:kern w:val="0"/>
          <w:sz w:val="29"/>
          <w:szCs w:val="29"/>
        </w:rPr>
      </w:pPr>
      <w:r>
        <w:rPr>
          <w:rFonts w:ascii="仿宋" w:hAnsi="仿宋" w:eastAsia="仿宋" w:cs="仿宋"/>
          <w:spacing w:val="11"/>
          <w:kern w:val="0"/>
          <w:sz w:val="29"/>
          <w:szCs w:val="29"/>
        </w:rPr>
        <w:t>（1）本部门收入主要包括本部门收入主要包括本部门收入主要包括本部门收入主要包括财政拨款收入，利息收入，其他收入。财政拨款收入3,376.47万元，占比100%；利息收入0万元，占比0%；其他收入占比0万元，占比0%。</w:t>
      </w:r>
    </w:p>
    <w:p>
      <w:pPr>
        <w:keepNext w:val="0"/>
        <w:keepLines w:val="0"/>
        <w:pageBreakBefore w:val="0"/>
        <w:widowControl/>
        <w:kinsoku w:val="0"/>
        <w:wordWrap/>
        <w:overflowPunct/>
        <w:topLinePunct w:val="0"/>
        <w:autoSpaceDE w:val="0"/>
        <w:autoSpaceDN w:val="0"/>
        <w:bidi w:val="0"/>
        <w:adjustRightInd w:val="0"/>
        <w:snapToGrid w:val="0"/>
        <w:spacing w:before="0" w:line="396" w:lineRule="auto"/>
        <w:ind w:left="40" w:firstLine="624" w:firstLineChars="200"/>
        <w:textAlignment w:val="baseline"/>
        <w:rPr>
          <w:rFonts w:ascii="仿宋" w:hAnsi="仿宋" w:eastAsia="仿宋" w:cs="仿宋"/>
          <w:spacing w:val="11"/>
          <w:kern w:val="0"/>
          <w:sz w:val="29"/>
          <w:szCs w:val="29"/>
        </w:rPr>
      </w:pPr>
      <w:r>
        <w:rPr>
          <w:rFonts w:ascii="仿宋" w:hAnsi="仿宋" w:eastAsia="仿宋" w:cs="仿宋"/>
          <w:spacing w:val="11"/>
          <w:kern w:val="0"/>
          <w:sz w:val="29"/>
          <w:szCs w:val="29"/>
        </w:rPr>
        <w:t>（2）本部门费用主要包括本部门费用主要包括本部门费用主要包括本部门费用主要包括业务活动费用。业务活动费用4,725.84万元，占比100%。</w:t>
      </w:r>
    </w:p>
    <w:p>
      <w:pPr>
        <w:keepNext w:val="0"/>
        <w:keepLines w:val="0"/>
        <w:pageBreakBefore w:val="0"/>
        <w:widowControl/>
        <w:kinsoku w:val="0"/>
        <w:wordWrap/>
        <w:overflowPunct/>
        <w:topLinePunct w:val="0"/>
        <w:autoSpaceDE w:val="0"/>
        <w:autoSpaceDN w:val="0"/>
        <w:bidi w:val="0"/>
        <w:adjustRightInd w:val="0"/>
        <w:snapToGrid w:val="0"/>
        <w:spacing w:before="0" w:line="396" w:lineRule="auto"/>
        <w:ind w:left="40" w:firstLine="624" w:firstLineChars="200"/>
        <w:textAlignment w:val="baseline"/>
        <w:rPr>
          <w:rFonts w:hint="eastAsia" w:ascii="仿宋" w:hAnsi="仿宋" w:eastAsia="仿宋" w:cs="仿宋"/>
          <w:spacing w:val="11"/>
          <w:kern w:val="0"/>
          <w:sz w:val="29"/>
          <w:szCs w:val="29"/>
        </w:rPr>
      </w:pPr>
      <w:r>
        <w:rPr>
          <w:rFonts w:hint="eastAsia" w:ascii="仿宋" w:hAnsi="仿宋" w:eastAsia="仿宋" w:cs="仿宋"/>
          <w:spacing w:val="11"/>
          <w:kern w:val="0"/>
          <w:sz w:val="29"/>
          <w:szCs w:val="29"/>
        </w:rPr>
        <w:t>（3）《报告》反映的收入费用与决算报告反映的收入支出的主要差异情况。主要原因是时间范围以及分类方法不同。</w:t>
      </w:r>
    </w:p>
    <w:p>
      <w:pPr>
        <w:spacing w:before="94" w:line="360" w:lineRule="auto"/>
        <w:ind w:left="630"/>
        <w:outlineLvl w:val="0"/>
        <w:rPr>
          <w:rFonts w:ascii="黑体" w:hAnsi="黑体" w:eastAsia="黑体" w:cs="黑体"/>
          <w:spacing w:val="11"/>
          <w:position w:val="4"/>
          <w:sz w:val="28"/>
          <w:szCs w:val="28"/>
        </w:rPr>
      </w:pPr>
      <w:bookmarkStart w:id="10" w:name="_Toc17391"/>
      <w:r>
        <w:rPr>
          <w:rFonts w:ascii="黑体" w:hAnsi="黑体" w:eastAsia="黑体" w:cs="黑体"/>
          <w:spacing w:val="11"/>
          <w:position w:val="4"/>
          <w:sz w:val="28"/>
          <w:szCs w:val="28"/>
        </w:rPr>
        <w:t>一、政府部门财务报表</w:t>
      </w:r>
      <w:bookmarkEnd w:id="10"/>
    </w:p>
    <w:p>
      <w:pPr>
        <w:tabs>
          <w:tab w:val="left" w:pos="600"/>
        </w:tabs>
        <w:spacing w:line="360" w:lineRule="auto"/>
        <w:ind w:firstLine="560" w:firstLineChars="200"/>
        <w:outlineLvl w:val="1"/>
        <w:rPr>
          <w:rFonts w:hint="eastAsia" w:ascii="楷体" w:hAnsi="楷体" w:eastAsia="楷体" w:cs="楷体"/>
          <w:sz w:val="28"/>
          <w:szCs w:val="28"/>
        </w:rPr>
      </w:pPr>
      <w:bookmarkStart w:id="11" w:name="_Toc20309"/>
      <w:r>
        <w:rPr>
          <w:rFonts w:hint="eastAsia" w:ascii="楷体" w:hAnsi="楷体" w:eastAsia="楷体" w:cs="楷体"/>
          <w:sz w:val="28"/>
          <w:szCs w:val="28"/>
        </w:rPr>
        <w:t>(一) 政府部门会计报表</w:t>
      </w:r>
      <w:bookmarkEnd w:id="11"/>
    </w:p>
    <w:p>
      <w:pPr>
        <w:spacing w:before="1" w:line="360" w:lineRule="auto"/>
        <w:ind w:firstLine="765" w:firstLineChars="300"/>
        <w:outlineLvl w:val="2"/>
        <w:rPr>
          <w:rFonts w:hint="eastAsia" w:ascii="仿宋" w:hAnsi="仿宋" w:eastAsia="仿宋" w:cs="仿宋"/>
          <w:b/>
          <w:bCs/>
          <w:spacing w:val="-13"/>
          <w:sz w:val="28"/>
          <w:szCs w:val="28"/>
        </w:rPr>
      </w:pPr>
      <w:bookmarkStart w:id="12" w:name="_Toc14416"/>
      <w:r>
        <w:rPr>
          <w:rFonts w:hint="eastAsia" w:ascii="仿宋" w:hAnsi="仿宋" w:eastAsia="仿宋" w:cs="仿宋"/>
          <w:b/>
          <w:bCs/>
          <w:spacing w:val="-13"/>
          <w:sz w:val="28"/>
          <w:szCs w:val="28"/>
        </w:rPr>
        <w:t>资产负债表</w:t>
      </w:r>
      <w:bookmarkEnd w:id="12"/>
      <w:bookmarkStart w:id="13" w:name="_bookmark11"/>
      <w:bookmarkEnd w:id="13"/>
      <w:bookmarkStart w:id="14" w:name="_bookmark10"/>
      <w:bookmarkEnd w:id="14"/>
      <w:bookmarkStart w:id="15" w:name="_bookmark9"/>
      <w:bookmarkEnd w:id="15"/>
      <w:bookmarkStart w:id="16" w:name="_bookmark8"/>
      <w:bookmarkEnd w:id="16"/>
      <w:bookmarkStart w:id="17" w:name="_bookmark7"/>
      <w:bookmarkEnd w:id="17"/>
    </w:p>
    <w:p>
      <w:pPr>
        <w:widowControl w:val="0"/>
        <w:kinsoku/>
        <w:snapToGrid/>
        <w:spacing w:line="0" w:lineRule="atLeast"/>
        <w:textAlignment w:val="auto"/>
        <w:rPr>
          <w:rFonts w:ascii="Times New Roman" w:hAnsi="Times New Roman" w:eastAsia="Times New Roman" w:cs="Times New Roman"/>
          <w:snapToGrid/>
          <w:color w:val="auto"/>
          <w:sz w:val="2"/>
          <w:szCs w:val="24"/>
        </w:rPr>
      </w:pPr>
      <w:bookmarkStart w:id="18" w:name="ML_1_1_ZCFZB"/>
      <w:bookmarkEnd w:id="18"/>
    </w:p>
    <w:tbl>
      <w:tblPr>
        <w:tblStyle w:val="8"/>
        <w:tblW w:w="9277" w:type="dxa"/>
        <w:tblInd w:w="5" w:type="dxa"/>
        <w:tblLayout w:type="fixed"/>
        <w:tblCellMar>
          <w:top w:w="0" w:type="dxa"/>
          <w:left w:w="0" w:type="dxa"/>
          <w:bottom w:w="0" w:type="dxa"/>
          <w:right w:w="0" w:type="dxa"/>
        </w:tblCellMar>
      </w:tblPr>
      <w:tblGrid>
        <w:gridCol w:w="4534"/>
        <w:gridCol w:w="1907"/>
        <w:gridCol w:w="1417"/>
        <w:gridCol w:w="1417"/>
      </w:tblGrid>
      <w:tr>
        <w:tblPrEx>
          <w:tblCellMar>
            <w:top w:w="0" w:type="dxa"/>
            <w:left w:w="0" w:type="dxa"/>
            <w:bottom w:w="0" w:type="dxa"/>
            <w:right w:w="0" w:type="dxa"/>
          </w:tblCellMar>
        </w:tblPrEx>
        <w:trPr>
          <w:trHeight w:val="285" w:hRule="exact"/>
        </w:trPr>
        <w:tc>
          <w:tcPr>
            <w:tcW w:w="9275" w:type="dxa"/>
            <w:gridSpan w:val="4"/>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85" w:lineRule="exact"/>
              <w:ind w:left="20"/>
              <w:textAlignment w:val="auto"/>
              <w:rPr>
                <w:rFonts w:ascii="仿宋" w:hAnsi="Times New Roman" w:eastAsia="仿宋" w:cs="仿宋"/>
                <w:snapToGrid/>
                <w:sz w:val="24"/>
                <w:szCs w:val="24"/>
              </w:rPr>
            </w:pPr>
            <w:r>
              <w:rPr>
                <w:rFonts w:ascii="仿宋" w:hAnsi="Times New Roman" w:eastAsia="仿宋" w:cs="仿宋"/>
                <w:snapToGrid/>
                <w:sz w:val="24"/>
                <w:szCs w:val="24"/>
              </w:rPr>
              <w:t>表 1</w:t>
            </w:r>
          </w:p>
        </w:tc>
      </w:tr>
      <w:tr>
        <w:tblPrEx>
          <w:tblCellMar>
            <w:top w:w="0" w:type="dxa"/>
            <w:left w:w="0" w:type="dxa"/>
            <w:bottom w:w="0" w:type="dxa"/>
            <w:right w:w="0" w:type="dxa"/>
          </w:tblCellMar>
        </w:tblPrEx>
        <w:trPr>
          <w:trHeight w:val="330" w:hRule="exact"/>
        </w:trPr>
        <w:tc>
          <w:tcPr>
            <w:tcW w:w="9275" w:type="dxa"/>
            <w:gridSpan w:val="4"/>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330" w:lineRule="exact"/>
              <w:ind w:left="20"/>
              <w:jc w:val="center"/>
              <w:textAlignment w:val="auto"/>
              <w:rPr>
                <w:rFonts w:ascii="宋体" w:hAnsi="Times New Roman" w:eastAsia="宋体" w:cs="宋体"/>
                <w:snapToGrid/>
                <w:sz w:val="28"/>
                <w:szCs w:val="24"/>
              </w:rPr>
            </w:pPr>
            <w:r>
              <w:rPr>
                <w:rFonts w:ascii="宋体" w:hAnsi="Times New Roman" w:eastAsia="宋体" w:cs="宋体"/>
                <w:b/>
                <w:snapToGrid/>
                <w:sz w:val="28"/>
                <w:szCs w:val="24"/>
              </w:rPr>
              <w:t>资产负债表</w:t>
            </w:r>
          </w:p>
        </w:tc>
      </w:tr>
      <w:tr>
        <w:tblPrEx>
          <w:tblCellMar>
            <w:top w:w="0" w:type="dxa"/>
            <w:left w:w="0" w:type="dxa"/>
            <w:bottom w:w="0" w:type="dxa"/>
            <w:right w:w="0" w:type="dxa"/>
          </w:tblCellMar>
        </w:tblPrEx>
        <w:trPr>
          <w:trHeight w:val="340"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snapToGrid/>
                <w:sz w:val="20"/>
                <w:szCs w:val="24"/>
              </w:rPr>
              <w:t>编制单位：古丈县自然资源局</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snapToGrid/>
                <w:sz w:val="20"/>
                <w:szCs w:val="24"/>
              </w:rPr>
              <w:t>2022年12月31日</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单位：万元</w:t>
            </w:r>
          </w:p>
        </w:tc>
      </w:tr>
      <w:tr>
        <w:tblPrEx>
          <w:tblCellMar>
            <w:top w:w="0" w:type="dxa"/>
            <w:left w:w="0" w:type="dxa"/>
            <w:bottom w:w="0" w:type="dxa"/>
            <w:right w:w="0" w:type="dxa"/>
          </w:tblCellMar>
        </w:tblPrEx>
        <w:trPr>
          <w:trHeight w:val="396" w:hRule="exact"/>
        </w:trPr>
        <w:tc>
          <w:tcPr>
            <w:tcW w:w="4534"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项目</w:t>
            </w:r>
          </w:p>
        </w:tc>
        <w:tc>
          <w:tcPr>
            <w:tcW w:w="190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附注</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年末数</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年初数</w:t>
            </w: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流动资产：</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货币资金</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附表1</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短期投资</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财政应返还额度</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应收票据</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附表2</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应收账款净额</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附表3</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3.31</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3.41</w:t>
            </w: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预付账款</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附表4</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24.30</w:t>
            </w: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应收股利</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应收利息</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其他应收款净额</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附表5</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4,480.53</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3,836.45</w:t>
            </w: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存货</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待摊费用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一年内到期的非流动资产</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其他流动资产</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580"/>
              <w:textAlignment w:val="auto"/>
              <w:rPr>
                <w:rFonts w:ascii="宋体" w:hAnsi="Times New Roman" w:eastAsia="宋体" w:cs="宋体"/>
                <w:snapToGrid/>
                <w:sz w:val="20"/>
                <w:szCs w:val="24"/>
              </w:rPr>
            </w:pPr>
            <w:r>
              <w:rPr>
                <w:rFonts w:ascii="宋体" w:hAnsi="Times New Roman" w:eastAsia="宋体" w:cs="宋体"/>
                <w:b/>
                <w:snapToGrid/>
                <w:sz w:val="20"/>
                <w:szCs w:val="24"/>
              </w:rPr>
              <w:t>流动资产合计</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4,483.84</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3,864.16</w:t>
            </w: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非流动资产：</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长期股权投资</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附表6</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长期债券投资</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附表6</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固定资产原值</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附表7</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977.71</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990.05</w:t>
            </w: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减：固定资产累计折旧</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附表7</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450.48</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460.05</w:t>
            </w: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固定资产净值</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527.23</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530.00</w:t>
            </w: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工程物资</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在建工程</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附表8</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18.50</w:t>
            </w: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无形资产原值</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附表9</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减：无形资产累计摊销</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附表9</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bl>
    <w:p>
      <w:pPr>
        <w:widowControl w:val="0"/>
        <w:kinsoku/>
        <w:snapToGrid/>
        <w:spacing w:line="0" w:lineRule="atLeast"/>
        <w:textAlignment w:val="auto"/>
        <w:rPr>
          <w:rFonts w:ascii="Times New Roman" w:hAnsi="Times New Roman" w:eastAsia="Times New Roman" w:cs="Times New Roman"/>
          <w:snapToGrid/>
          <w:color w:val="auto"/>
          <w:sz w:val="2"/>
          <w:szCs w:val="24"/>
        </w:rPr>
      </w:pPr>
    </w:p>
    <w:tbl>
      <w:tblPr>
        <w:tblStyle w:val="8"/>
        <w:tblW w:w="9277" w:type="dxa"/>
        <w:tblInd w:w="5" w:type="dxa"/>
        <w:tblLayout w:type="fixed"/>
        <w:tblCellMar>
          <w:top w:w="0" w:type="dxa"/>
          <w:left w:w="0" w:type="dxa"/>
          <w:bottom w:w="0" w:type="dxa"/>
          <w:right w:w="0" w:type="dxa"/>
        </w:tblCellMar>
      </w:tblPr>
      <w:tblGrid>
        <w:gridCol w:w="4534"/>
        <w:gridCol w:w="1907"/>
        <w:gridCol w:w="1417"/>
        <w:gridCol w:w="1417"/>
      </w:tblGrid>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无形资产净值</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研发支出</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公共基础设施原值</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附表10-1</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减：公共基础设施累计折旧（摊销）</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附表10-2</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公共基础设施净值</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政府储备物资</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附表11</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文物文化资产</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保障性住房原值</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附表12</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减：保障性住房累计折旧</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附表12</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保障性住房净值</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PPP项目资产</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附表13</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减：PPP项目资产累计折旧（摊销）</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附表13</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PPP项目资产净值</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长期待摊费用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待处理财产损溢</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其他非流动资产</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580"/>
              <w:textAlignment w:val="auto"/>
              <w:rPr>
                <w:rFonts w:ascii="宋体" w:hAnsi="Times New Roman" w:eastAsia="宋体" w:cs="宋体"/>
                <w:snapToGrid/>
                <w:sz w:val="20"/>
                <w:szCs w:val="24"/>
              </w:rPr>
            </w:pPr>
            <w:r>
              <w:rPr>
                <w:rFonts w:ascii="宋体" w:hAnsi="Times New Roman" w:eastAsia="宋体" w:cs="宋体"/>
                <w:b/>
                <w:snapToGrid/>
                <w:sz w:val="20"/>
                <w:szCs w:val="24"/>
              </w:rPr>
              <w:t>非流动资产合计</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527.23</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548.50</w:t>
            </w: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受托代理资产</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580"/>
              <w:textAlignment w:val="auto"/>
              <w:rPr>
                <w:rFonts w:ascii="宋体" w:hAnsi="Times New Roman" w:eastAsia="宋体" w:cs="宋体"/>
                <w:snapToGrid/>
                <w:sz w:val="20"/>
                <w:szCs w:val="24"/>
              </w:rPr>
            </w:pPr>
            <w:r>
              <w:rPr>
                <w:rFonts w:ascii="宋体" w:hAnsi="Times New Roman" w:eastAsia="宋体" w:cs="宋体"/>
                <w:b/>
                <w:snapToGrid/>
                <w:sz w:val="20"/>
                <w:szCs w:val="24"/>
              </w:rPr>
              <w:t>资产总计</w:t>
            </w:r>
          </w:p>
        </w:tc>
        <w:tc>
          <w:tcPr>
            <w:tcW w:w="190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5,011.07</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4,412.66</w:t>
            </w: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流动负债：</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短期借款</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应交增值税</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其他应交税费</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应缴财政款</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3,026.02</w:t>
            </w: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应付职工薪酬</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应付票据</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附表14</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应付账款</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附表15</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0.79</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1.76</w:t>
            </w: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应付政府补贴款</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bl>
    <w:p>
      <w:pPr>
        <w:widowControl w:val="0"/>
        <w:kinsoku/>
        <w:snapToGrid/>
        <w:spacing w:line="0" w:lineRule="atLeast"/>
        <w:textAlignment w:val="auto"/>
        <w:rPr>
          <w:rFonts w:ascii="Times New Roman" w:hAnsi="Times New Roman" w:eastAsia="Times New Roman" w:cs="Times New Roman"/>
          <w:snapToGrid/>
          <w:color w:val="auto"/>
          <w:sz w:val="2"/>
          <w:szCs w:val="24"/>
        </w:rPr>
      </w:pPr>
    </w:p>
    <w:tbl>
      <w:tblPr>
        <w:tblStyle w:val="8"/>
        <w:tblW w:w="9277" w:type="dxa"/>
        <w:tblInd w:w="5" w:type="dxa"/>
        <w:tblLayout w:type="fixed"/>
        <w:tblCellMar>
          <w:top w:w="0" w:type="dxa"/>
          <w:left w:w="0" w:type="dxa"/>
          <w:bottom w:w="0" w:type="dxa"/>
          <w:right w:w="0" w:type="dxa"/>
        </w:tblCellMar>
      </w:tblPr>
      <w:tblGrid>
        <w:gridCol w:w="4534"/>
        <w:gridCol w:w="1907"/>
        <w:gridCol w:w="1417"/>
        <w:gridCol w:w="1417"/>
      </w:tblGrid>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应付利息</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预收账款</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附表16</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其他应付款</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附表17</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1,506.42</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788.75</w:t>
            </w: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预提费用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一年内到期的非流动负债</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其他流动负债</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580"/>
              <w:textAlignment w:val="auto"/>
              <w:rPr>
                <w:rFonts w:ascii="宋体" w:hAnsi="Times New Roman" w:eastAsia="宋体" w:cs="宋体"/>
                <w:snapToGrid/>
                <w:sz w:val="20"/>
                <w:szCs w:val="24"/>
              </w:rPr>
            </w:pPr>
            <w:r>
              <w:rPr>
                <w:rFonts w:ascii="宋体" w:hAnsi="Times New Roman" w:eastAsia="宋体" w:cs="宋体"/>
                <w:b/>
                <w:snapToGrid/>
                <w:sz w:val="20"/>
                <w:szCs w:val="24"/>
              </w:rPr>
              <w:t>流动负债合计</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1,507.21</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3,816.53</w:t>
            </w: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非流动负债：</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长期借款</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附表18-1</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长期应付款</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附表19</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预计负债</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其他非流动负债</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580"/>
              <w:textAlignment w:val="auto"/>
              <w:rPr>
                <w:rFonts w:ascii="宋体" w:hAnsi="Times New Roman" w:eastAsia="宋体" w:cs="宋体"/>
                <w:snapToGrid/>
                <w:sz w:val="20"/>
                <w:szCs w:val="24"/>
              </w:rPr>
            </w:pPr>
            <w:r>
              <w:rPr>
                <w:rFonts w:ascii="宋体" w:hAnsi="Times New Roman" w:eastAsia="宋体" w:cs="宋体"/>
                <w:b/>
                <w:snapToGrid/>
                <w:sz w:val="20"/>
                <w:szCs w:val="24"/>
              </w:rPr>
              <w:t>非流动负债合计</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受托代理负债</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580"/>
              <w:textAlignment w:val="auto"/>
              <w:rPr>
                <w:rFonts w:ascii="宋体" w:hAnsi="Times New Roman" w:eastAsia="宋体" w:cs="宋体"/>
                <w:snapToGrid/>
                <w:sz w:val="20"/>
                <w:szCs w:val="24"/>
              </w:rPr>
            </w:pPr>
            <w:r>
              <w:rPr>
                <w:rFonts w:ascii="宋体" w:hAnsi="Times New Roman" w:eastAsia="宋体" w:cs="宋体"/>
                <w:b/>
                <w:snapToGrid/>
                <w:sz w:val="20"/>
                <w:szCs w:val="24"/>
              </w:rPr>
              <w:t>负债合计</w:t>
            </w:r>
          </w:p>
        </w:tc>
        <w:tc>
          <w:tcPr>
            <w:tcW w:w="190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1,507.21</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3,816.53</w:t>
            </w: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净资产:</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累计盈余</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3,503.88</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596.13</w:t>
            </w: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专用基金</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权益法调整</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PPP项目净资产</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净资产</w:t>
            </w:r>
          </w:p>
        </w:tc>
        <w:tc>
          <w:tcPr>
            <w:tcW w:w="190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3,503.86</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596.13</w:t>
            </w:r>
          </w:p>
        </w:tc>
      </w:tr>
      <w:tr>
        <w:trPr>
          <w:trHeight w:val="385" w:hRule="exact"/>
        </w:trPr>
        <w:tc>
          <w:tcPr>
            <w:tcW w:w="4534"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580"/>
              <w:textAlignment w:val="auto"/>
              <w:rPr>
                <w:rFonts w:ascii="宋体" w:hAnsi="Times New Roman" w:eastAsia="宋体" w:cs="宋体"/>
                <w:snapToGrid/>
                <w:sz w:val="20"/>
                <w:szCs w:val="24"/>
              </w:rPr>
            </w:pPr>
            <w:r>
              <w:rPr>
                <w:rFonts w:ascii="宋体" w:hAnsi="Times New Roman" w:eastAsia="宋体" w:cs="宋体"/>
                <w:b/>
                <w:snapToGrid/>
                <w:sz w:val="20"/>
                <w:szCs w:val="24"/>
              </w:rPr>
              <w:t>负债及净资产总计</w:t>
            </w:r>
          </w:p>
        </w:tc>
        <w:tc>
          <w:tcPr>
            <w:tcW w:w="190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5,011.07</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4,412.66</w:t>
            </w:r>
          </w:p>
        </w:tc>
      </w:tr>
      <w:tr>
        <w:tblPrEx>
          <w:tblCellMar>
            <w:top w:w="0" w:type="dxa"/>
            <w:left w:w="0" w:type="dxa"/>
            <w:bottom w:w="0" w:type="dxa"/>
            <w:right w:w="0" w:type="dxa"/>
          </w:tblCellMar>
        </w:tblPrEx>
        <w:trPr>
          <w:trHeight w:val="2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bl>
    <w:p>
      <w:pPr>
        <w:ind w:firstLine="2461" w:firstLineChars="1150"/>
        <w:rPr>
          <w:rFonts w:hint="eastAsia" w:ascii="宋体" w:hAnsi="宋体" w:eastAsia="宋体" w:cs="仿宋"/>
          <w:spacing w:val="-13"/>
          <w:sz w:val="24"/>
          <w:szCs w:val="24"/>
          <w:lang w:val="en-US" w:eastAsia="zh-CN"/>
        </w:rPr>
      </w:pPr>
      <w:bookmarkStart w:id="19" w:name="_Toc9036"/>
    </w:p>
    <w:p>
      <w:pPr>
        <w:spacing w:before="1" w:line="360" w:lineRule="auto"/>
        <w:ind w:firstLine="765" w:firstLineChars="300"/>
        <w:outlineLvl w:val="2"/>
        <w:rPr>
          <w:rFonts w:hint="eastAsia" w:ascii="仿宋" w:hAnsi="仿宋" w:eastAsia="仿宋" w:cs="仿宋"/>
          <w:b/>
          <w:bCs/>
          <w:spacing w:val="-13"/>
          <w:sz w:val="28"/>
          <w:szCs w:val="28"/>
        </w:rPr>
      </w:pPr>
      <w:r>
        <w:rPr>
          <w:rFonts w:hint="eastAsia" w:ascii="仿宋" w:hAnsi="仿宋" w:eastAsia="仿宋" w:cs="仿宋"/>
          <w:b/>
          <w:bCs/>
          <w:spacing w:val="-13"/>
          <w:sz w:val="28"/>
          <w:szCs w:val="28"/>
        </w:rPr>
        <w:t>收入费用表（1）</w:t>
      </w:r>
      <w:bookmarkEnd w:id="19"/>
    </w:p>
    <w:p>
      <w:pPr>
        <w:widowControl w:val="0"/>
        <w:kinsoku/>
        <w:snapToGrid/>
        <w:spacing w:line="0" w:lineRule="atLeast"/>
        <w:textAlignment w:val="auto"/>
        <w:rPr>
          <w:rFonts w:ascii="Times New Roman" w:hAnsi="Times New Roman" w:eastAsia="Times New Roman" w:cs="Times New Roman"/>
          <w:snapToGrid/>
          <w:color w:val="auto"/>
          <w:sz w:val="2"/>
          <w:szCs w:val="24"/>
        </w:rPr>
      </w:pPr>
      <w:bookmarkStart w:id="20" w:name="ML_1_1_SRFYB1"/>
    </w:p>
    <w:tbl>
      <w:tblPr>
        <w:tblStyle w:val="8"/>
        <w:tblW w:w="9277" w:type="dxa"/>
        <w:tblInd w:w="5" w:type="dxa"/>
        <w:tblLayout w:type="fixed"/>
        <w:tblCellMar>
          <w:top w:w="0" w:type="dxa"/>
          <w:left w:w="0" w:type="dxa"/>
          <w:bottom w:w="0" w:type="dxa"/>
          <w:right w:w="0" w:type="dxa"/>
        </w:tblCellMar>
      </w:tblPr>
      <w:tblGrid>
        <w:gridCol w:w="4534"/>
        <w:gridCol w:w="1907"/>
        <w:gridCol w:w="1417"/>
        <w:gridCol w:w="1417"/>
      </w:tblGrid>
      <w:tr>
        <w:trPr>
          <w:trHeight w:val="285" w:hRule="exact"/>
        </w:trPr>
        <w:tc>
          <w:tcPr>
            <w:tcW w:w="9275" w:type="dxa"/>
            <w:gridSpan w:val="4"/>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85" w:lineRule="exact"/>
              <w:ind w:left="20"/>
              <w:textAlignment w:val="auto"/>
              <w:rPr>
                <w:rFonts w:ascii="仿宋" w:hAnsi="Times New Roman" w:eastAsia="仿宋" w:cs="仿宋"/>
                <w:snapToGrid/>
                <w:sz w:val="24"/>
                <w:szCs w:val="24"/>
              </w:rPr>
            </w:pPr>
            <w:r>
              <w:rPr>
                <w:rFonts w:ascii="仿宋" w:hAnsi="Times New Roman" w:eastAsia="仿宋" w:cs="仿宋"/>
                <w:snapToGrid/>
                <w:sz w:val="24"/>
                <w:szCs w:val="24"/>
              </w:rPr>
              <w:t>表 2-1</w:t>
            </w:r>
          </w:p>
        </w:tc>
      </w:tr>
      <w:tr>
        <w:tblPrEx>
          <w:tblCellMar>
            <w:top w:w="0" w:type="dxa"/>
            <w:left w:w="0" w:type="dxa"/>
            <w:bottom w:w="0" w:type="dxa"/>
            <w:right w:w="0" w:type="dxa"/>
          </w:tblCellMar>
        </w:tblPrEx>
        <w:trPr>
          <w:trHeight w:val="330" w:hRule="exact"/>
        </w:trPr>
        <w:tc>
          <w:tcPr>
            <w:tcW w:w="9275" w:type="dxa"/>
            <w:gridSpan w:val="4"/>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330" w:lineRule="exact"/>
              <w:ind w:left="20"/>
              <w:jc w:val="center"/>
              <w:textAlignment w:val="auto"/>
              <w:rPr>
                <w:rFonts w:ascii="宋体" w:hAnsi="Times New Roman" w:eastAsia="宋体" w:cs="宋体"/>
                <w:snapToGrid/>
                <w:sz w:val="28"/>
                <w:szCs w:val="24"/>
              </w:rPr>
            </w:pPr>
            <w:r>
              <w:rPr>
                <w:rFonts w:ascii="宋体" w:hAnsi="Times New Roman" w:eastAsia="宋体" w:cs="宋体"/>
                <w:b/>
                <w:snapToGrid/>
                <w:sz w:val="28"/>
                <w:szCs w:val="24"/>
              </w:rPr>
              <w:t>收入费用表（1）</w:t>
            </w:r>
          </w:p>
        </w:tc>
      </w:tr>
      <w:tr>
        <w:tblPrEx>
          <w:tblCellMar>
            <w:top w:w="0" w:type="dxa"/>
            <w:left w:w="0" w:type="dxa"/>
            <w:bottom w:w="0" w:type="dxa"/>
            <w:right w:w="0" w:type="dxa"/>
          </w:tblCellMar>
        </w:tblPrEx>
        <w:trPr>
          <w:trHeight w:val="340"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snapToGrid/>
                <w:sz w:val="20"/>
                <w:szCs w:val="24"/>
              </w:rPr>
              <w:t>编制单位：古丈县自然资源局</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snapToGrid/>
                <w:sz w:val="20"/>
                <w:szCs w:val="24"/>
              </w:rPr>
              <w:t>2022年12月31日</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单位：万元</w:t>
            </w:r>
          </w:p>
        </w:tc>
      </w:tr>
      <w:tr>
        <w:tblPrEx>
          <w:tblCellMar>
            <w:top w:w="0" w:type="dxa"/>
            <w:left w:w="0" w:type="dxa"/>
            <w:bottom w:w="0" w:type="dxa"/>
            <w:right w:w="0" w:type="dxa"/>
          </w:tblCellMar>
        </w:tblPrEx>
        <w:trPr>
          <w:trHeight w:val="385" w:hRule="exact"/>
        </w:trPr>
        <w:tc>
          <w:tcPr>
            <w:tcW w:w="4534"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项目</w:t>
            </w:r>
          </w:p>
        </w:tc>
        <w:tc>
          <w:tcPr>
            <w:tcW w:w="190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附注</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本年数</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上年数</w:t>
            </w: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财政拨款收入</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3,376.47</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事业收入</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附表20</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上级补助收入</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自定义附表1</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附属单位上缴收入</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自定义附表2</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经营收入</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附表21</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非同级财政拨款收入</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附表22</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投资收益</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附表6</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捐赠收入</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利息收入</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租金收入</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附表23</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其他收入</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附表24</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b/>
                <w:snapToGrid/>
                <w:sz w:val="20"/>
                <w:szCs w:val="24"/>
              </w:rPr>
              <w:t>收入合计</w:t>
            </w:r>
          </w:p>
        </w:tc>
        <w:tc>
          <w:tcPr>
            <w:tcW w:w="190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3,376.47</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业务活动费用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附表25</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4,725.84</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单位管理费用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附表26</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经营费用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附表27</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资产处置费用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上缴上级费用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自定义附表3</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对附属单位补助费用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自定义附表4</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所得税费用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其他费用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1,645.45</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b/>
                <w:snapToGrid/>
                <w:sz w:val="20"/>
                <w:szCs w:val="24"/>
              </w:rPr>
              <w:t>费用合计</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6,371.29</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580"/>
              <w:textAlignment w:val="auto"/>
              <w:rPr>
                <w:rFonts w:ascii="宋体" w:hAnsi="Times New Roman" w:eastAsia="宋体" w:cs="宋体"/>
                <w:snapToGrid/>
                <w:sz w:val="20"/>
                <w:szCs w:val="24"/>
              </w:rPr>
            </w:pPr>
            <w:r>
              <w:rPr>
                <w:rFonts w:ascii="宋体" w:hAnsi="Times New Roman" w:eastAsia="宋体" w:cs="宋体"/>
                <w:b/>
                <w:snapToGrid/>
                <w:sz w:val="20"/>
                <w:szCs w:val="24"/>
              </w:rPr>
              <w:t>本年盈余</w:t>
            </w:r>
          </w:p>
        </w:tc>
        <w:tc>
          <w:tcPr>
            <w:tcW w:w="190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-2,994.82</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2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bookmarkEnd w:id="20"/>
    </w:tbl>
    <w:p>
      <w:pPr>
        <w:ind w:firstLine="2472" w:firstLineChars="1150"/>
        <w:rPr>
          <w:rFonts w:hint="eastAsia" w:ascii="宋体" w:hAnsi="宋体" w:eastAsia="宋体" w:cs="仿宋"/>
          <w:b/>
          <w:spacing w:val="-13"/>
          <w:sz w:val="24"/>
          <w:szCs w:val="24"/>
          <w:lang w:val="en-US" w:eastAsia="zh-CN"/>
        </w:rPr>
      </w:pPr>
    </w:p>
    <w:p>
      <w:pPr>
        <w:spacing w:before="1" w:line="360" w:lineRule="auto"/>
        <w:ind w:firstLine="765" w:firstLineChars="300"/>
        <w:outlineLvl w:val="2"/>
        <w:rPr>
          <w:rFonts w:hint="eastAsia" w:ascii="仿宋" w:hAnsi="仿宋" w:eastAsia="仿宋" w:cs="仿宋"/>
          <w:b/>
          <w:bCs/>
          <w:spacing w:val="-13"/>
          <w:sz w:val="28"/>
          <w:szCs w:val="28"/>
        </w:rPr>
      </w:pPr>
      <w:bookmarkStart w:id="21" w:name="_Toc23099"/>
      <w:r>
        <w:rPr>
          <w:rFonts w:hint="eastAsia" w:ascii="仿宋" w:hAnsi="仿宋" w:eastAsia="仿宋" w:cs="仿宋"/>
          <w:b/>
          <w:bCs/>
          <w:spacing w:val="-13"/>
          <w:sz w:val="28"/>
          <w:szCs w:val="28"/>
        </w:rPr>
        <w:t>收入费用表（2）</w:t>
      </w:r>
      <w:bookmarkEnd w:id="21"/>
    </w:p>
    <w:p>
      <w:pPr>
        <w:widowControl w:val="0"/>
        <w:kinsoku/>
        <w:snapToGrid/>
        <w:spacing w:line="0" w:lineRule="atLeast"/>
        <w:textAlignment w:val="auto"/>
        <w:rPr>
          <w:rFonts w:ascii="Times New Roman" w:hAnsi="Times New Roman" w:eastAsia="Times New Roman" w:cs="Times New Roman"/>
          <w:snapToGrid/>
          <w:color w:val="auto"/>
          <w:sz w:val="2"/>
          <w:szCs w:val="24"/>
        </w:rPr>
      </w:pPr>
      <w:bookmarkStart w:id="22" w:name="ML_1_1_SRFYB2"/>
    </w:p>
    <w:tbl>
      <w:tblPr>
        <w:tblStyle w:val="8"/>
        <w:tblW w:w="9277" w:type="dxa"/>
        <w:tblInd w:w="5" w:type="dxa"/>
        <w:tblLayout w:type="fixed"/>
        <w:tblCellMar>
          <w:top w:w="0" w:type="dxa"/>
          <w:left w:w="0" w:type="dxa"/>
          <w:bottom w:w="0" w:type="dxa"/>
          <w:right w:w="0" w:type="dxa"/>
        </w:tblCellMar>
      </w:tblPr>
      <w:tblGrid>
        <w:gridCol w:w="4534"/>
        <w:gridCol w:w="1907"/>
        <w:gridCol w:w="1417"/>
        <w:gridCol w:w="1417"/>
      </w:tblGrid>
      <w:tr>
        <w:trPr>
          <w:trHeight w:val="285" w:hRule="exact"/>
        </w:trPr>
        <w:tc>
          <w:tcPr>
            <w:tcW w:w="9275" w:type="dxa"/>
            <w:gridSpan w:val="4"/>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85" w:lineRule="exact"/>
              <w:ind w:left="20"/>
              <w:textAlignment w:val="auto"/>
              <w:rPr>
                <w:rFonts w:ascii="仿宋" w:hAnsi="Times New Roman" w:eastAsia="仿宋" w:cs="仿宋"/>
                <w:snapToGrid/>
                <w:sz w:val="24"/>
                <w:szCs w:val="24"/>
              </w:rPr>
            </w:pPr>
            <w:r>
              <w:rPr>
                <w:rFonts w:ascii="仿宋" w:hAnsi="Times New Roman" w:eastAsia="仿宋" w:cs="仿宋"/>
                <w:snapToGrid/>
                <w:sz w:val="24"/>
                <w:szCs w:val="24"/>
              </w:rPr>
              <w:t>表 2-2</w:t>
            </w:r>
          </w:p>
        </w:tc>
      </w:tr>
      <w:tr>
        <w:tblPrEx>
          <w:tblCellMar>
            <w:top w:w="0" w:type="dxa"/>
            <w:left w:w="0" w:type="dxa"/>
            <w:bottom w:w="0" w:type="dxa"/>
            <w:right w:w="0" w:type="dxa"/>
          </w:tblCellMar>
        </w:tblPrEx>
        <w:trPr>
          <w:trHeight w:val="330" w:hRule="exact"/>
        </w:trPr>
        <w:tc>
          <w:tcPr>
            <w:tcW w:w="9275" w:type="dxa"/>
            <w:gridSpan w:val="4"/>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330" w:lineRule="exact"/>
              <w:ind w:left="20"/>
              <w:jc w:val="center"/>
              <w:textAlignment w:val="auto"/>
              <w:rPr>
                <w:rFonts w:ascii="宋体" w:hAnsi="Times New Roman" w:eastAsia="宋体" w:cs="宋体"/>
                <w:snapToGrid/>
                <w:sz w:val="28"/>
                <w:szCs w:val="24"/>
              </w:rPr>
            </w:pPr>
            <w:r>
              <w:rPr>
                <w:rFonts w:ascii="宋体" w:hAnsi="Times New Roman" w:eastAsia="宋体" w:cs="宋体"/>
                <w:b/>
                <w:snapToGrid/>
                <w:sz w:val="28"/>
                <w:szCs w:val="24"/>
              </w:rPr>
              <w:t>收入费用表（2）</w:t>
            </w:r>
          </w:p>
        </w:tc>
      </w:tr>
      <w:tr>
        <w:tblPrEx>
          <w:tblCellMar>
            <w:top w:w="0" w:type="dxa"/>
            <w:left w:w="0" w:type="dxa"/>
            <w:bottom w:w="0" w:type="dxa"/>
            <w:right w:w="0" w:type="dxa"/>
          </w:tblCellMar>
        </w:tblPrEx>
        <w:trPr>
          <w:trHeight w:val="340"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snapToGrid/>
                <w:sz w:val="20"/>
                <w:szCs w:val="24"/>
              </w:rPr>
              <w:t>编制单位：古丈县自然资源局</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snapToGrid/>
                <w:sz w:val="20"/>
                <w:szCs w:val="24"/>
              </w:rPr>
              <w:t>2022年12月31日</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单位：万元</w:t>
            </w:r>
          </w:p>
        </w:tc>
      </w:tr>
      <w:tr>
        <w:tblPrEx>
          <w:tblCellMar>
            <w:top w:w="0" w:type="dxa"/>
            <w:left w:w="0" w:type="dxa"/>
            <w:bottom w:w="0" w:type="dxa"/>
            <w:right w:w="0" w:type="dxa"/>
          </w:tblCellMar>
        </w:tblPrEx>
        <w:trPr>
          <w:trHeight w:val="385" w:hRule="exact"/>
        </w:trPr>
        <w:tc>
          <w:tcPr>
            <w:tcW w:w="4534"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项目</w:t>
            </w:r>
          </w:p>
        </w:tc>
        <w:tc>
          <w:tcPr>
            <w:tcW w:w="190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附注</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本年数</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上年数</w:t>
            </w: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财政拨款收入</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3,376.47</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事业收入</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附表20</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上级补助收入</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自定义附表1</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附属单位上缴收入</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自定义附表2</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经营收入</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附表21</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非同级财政拨款收入</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附表22</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投资收益</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附表6</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捐赠收入</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利息收入</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租金收入</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附表23</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其他收入</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附表24</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b/>
                <w:snapToGrid/>
                <w:sz w:val="20"/>
                <w:szCs w:val="24"/>
              </w:rPr>
              <w:t>收入合计</w:t>
            </w:r>
          </w:p>
        </w:tc>
        <w:tc>
          <w:tcPr>
            <w:tcW w:w="190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3,376.47</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工资福利费用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1,755.46</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商品和服务费用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附表28</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2,898.55</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对个人和家庭的补助费用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26.50</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对企业补助费用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固定资产折旧费用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41.54</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无形资产摊销费用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公共基础设施折旧（摊销）费用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保障性住房折旧费用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计提专用基金</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资产处置费用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上缴上级费用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自定义附表3</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对附属单位补助费用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自定义附表4</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所得税费用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bl>
    <w:p>
      <w:pPr>
        <w:widowControl w:val="0"/>
        <w:kinsoku/>
        <w:snapToGrid/>
        <w:spacing w:line="0" w:lineRule="atLeast"/>
        <w:textAlignment w:val="auto"/>
        <w:rPr>
          <w:rFonts w:ascii="Times New Roman" w:hAnsi="Times New Roman" w:eastAsia="Times New Roman" w:cs="Times New Roman"/>
          <w:snapToGrid/>
          <w:color w:val="auto"/>
          <w:sz w:val="2"/>
          <w:szCs w:val="24"/>
        </w:rPr>
      </w:pPr>
    </w:p>
    <w:tbl>
      <w:tblPr>
        <w:tblStyle w:val="8"/>
        <w:tblW w:w="9277" w:type="dxa"/>
        <w:tblInd w:w="5" w:type="dxa"/>
        <w:tblLayout w:type="fixed"/>
        <w:tblCellMar>
          <w:top w:w="0" w:type="dxa"/>
          <w:left w:w="0" w:type="dxa"/>
          <w:bottom w:w="0" w:type="dxa"/>
          <w:right w:w="0" w:type="dxa"/>
        </w:tblCellMar>
      </w:tblPr>
      <w:tblGrid>
        <w:gridCol w:w="4534"/>
        <w:gridCol w:w="1907"/>
        <w:gridCol w:w="1417"/>
        <w:gridCol w:w="1417"/>
      </w:tblGrid>
      <w:tr>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其他费用</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附表29</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snapToGrid/>
                <w:sz w:val="20"/>
                <w:szCs w:val="24"/>
              </w:rPr>
              <w:t>1,649.24</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b/>
                <w:snapToGrid/>
                <w:sz w:val="20"/>
                <w:szCs w:val="24"/>
              </w:rPr>
              <w:t>费用合计</w:t>
            </w: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6,371.29</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4534"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580"/>
              <w:textAlignment w:val="auto"/>
              <w:rPr>
                <w:rFonts w:ascii="宋体" w:hAnsi="Times New Roman" w:eastAsia="宋体" w:cs="宋体"/>
                <w:snapToGrid/>
                <w:sz w:val="20"/>
                <w:szCs w:val="24"/>
              </w:rPr>
            </w:pPr>
            <w:r>
              <w:rPr>
                <w:rFonts w:ascii="宋体" w:hAnsi="Times New Roman" w:eastAsia="宋体" w:cs="宋体"/>
                <w:b/>
                <w:snapToGrid/>
                <w:sz w:val="20"/>
                <w:szCs w:val="24"/>
              </w:rPr>
              <w:t>本年盈余</w:t>
            </w:r>
          </w:p>
        </w:tc>
        <w:tc>
          <w:tcPr>
            <w:tcW w:w="190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-2,994.82</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285" w:hRule="exact"/>
        </w:trPr>
        <w:tc>
          <w:tcPr>
            <w:tcW w:w="4534"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90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rPr>
          <w:trHeight w:val="285" w:hRule="exact"/>
        </w:trPr>
        <w:tc>
          <w:tcPr>
            <w:tcW w:w="9275" w:type="dxa"/>
            <w:gridSpan w:val="4"/>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25" w:lineRule="exact"/>
              <w:ind w:left="20"/>
              <w:textAlignment w:val="auto"/>
              <w:rPr>
                <w:rFonts w:ascii="宋体" w:hAnsi="Times New Roman" w:eastAsia="宋体" w:cs="宋体"/>
                <w:snapToGrid/>
                <w:sz w:val="18"/>
                <w:szCs w:val="24"/>
              </w:rPr>
            </w:pPr>
            <w:r>
              <w:rPr>
                <w:rFonts w:ascii="宋体" w:hAnsi="Times New Roman" w:eastAsia="宋体" w:cs="宋体"/>
                <w:snapToGrid/>
                <w:sz w:val="18"/>
                <w:szCs w:val="24"/>
              </w:rPr>
              <w:t>表 2-2 的“其他费用”包括“业务活动费用”“单位管理费用”“经营费用”等会计科目中的其他部分。</w:t>
            </w:r>
          </w:p>
        </w:tc>
      </w:tr>
      <w:bookmarkEnd w:id="22"/>
    </w:tbl>
    <w:p>
      <w:pPr>
        <w:ind w:firstLine="2472" w:firstLineChars="1150"/>
        <w:rPr>
          <w:rFonts w:hint="eastAsia" w:ascii="宋体" w:hAnsi="宋体" w:eastAsia="宋体" w:cs="仿宋"/>
          <w:b/>
          <w:spacing w:val="-13"/>
          <w:sz w:val="24"/>
          <w:szCs w:val="24"/>
          <w:lang w:val="en-US" w:eastAsia="zh-CN"/>
        </w:rPr>
      </w:pPr>
    </w:p>
    <w:p>
      <w:pPr>
        <w:keepNext w:val="0"/>
        <w:keepLines w:val="0"/>
        <w:pageBreakBefore w:val="0"/>
        <w:widowControl/>
        <w:tabs>
          <w:tab w:val="left" w:pos="600"/>
        </w:tabs>
        <w:kinsoku w:val="0"/>
        <w:wordWrap/>
        <w:overflowPunct/>
        <w:topLinePunct w:val="0"/>
        <w:autoSpaceDE w:val="0"/>
        <w:autoSpaceDN w:val="0"/>
        <w:bidi w:val="0"/>
        <w:adjustRightInd w:val="0"/>
        <w:snapToGrid w:val="0"/>
        <w:spacing w:before="120" w:beforeLines="50" w:line="360" w:lineRule="auto"/>
        <w:ind w:firstLine="599" w:firstLineChars="184"/>
        <w:textAlignment w:val="baseline"/>
        <w:outlineLvl w:val="1"/>
        <w:rPr>
          <w:rFonts w:ascii="楷体" w:hAnsi="楷体" w:eastAsia="楷体" w:cs="楷体"/>
          <w:b w:val="0"/>
          <w:bCs/>
          <w:spacing w:val="23"/>
          <w:sz w:val="28"/>
          <w:szCs w:val="28"/>
        </w:rPr>
      </w:pPr>
      <w:bookmarkStart w:id="23" w:name="_Toc20658"/>
      <w:r>
        <w:rPr>
          <w:rFonts w:ascii="楷体" w:hAnsi="楷体" w:eastAsia="楷体" w:cs="楷体"/>
          <w:b w:val="0"/>
          <w:bCs/>
          <w:spacing w:val="23"/>
          <w:sz w:val="28"/>
          <w:szCs w:val="28"/>
        </w:rPr>
        <w:t>(二) 政府部门会计报表附注</w:t>
      </w:r>
      <w:bookmarkEnd w:id="23"/>
    </w:p>
    <w:p>
      <w:pPr>
        <w:keepNext w:val="0"/>
        <w:keepLines w:val="0"/>
        <w:pageBreakBefore w:val="0"/>
        <w:widowControl/>
        <w:kinsoku w:val="0"/>
        <w:wordWrap/>
        <w:overflowPunct/>
        <w:topLinePunct w:val="0"/>
        <w:autoSpaceDE w:val="0"/>
        <w:autoSpaceDN w:val="0"/>
        <w:bidi w:val="0"/>
        <w:adjustRightInd w:val="0"/>
        <w:snapToGrid w:val="0"/>
        <w:spacing w:before="12" w:line="224" w:lineRule="auto"/>
        <w:ind w:left="28" w:right="11" w:firstLine="420"/>
        <w:textAlignment w:val="baseline"/>
        <w:outlineLvl w:val="2"/>
        <w:rPr>
          <w:rFonts w:hint="eastAsia" w:ascii="仿宋" w:hAnsi="仿宋" w:eastAsia="仿宋" w:cs="仿宋"/>
          <w:b/>
          <w:bCs/>
          <w:spacing w:val="1"/>
          <w:sz w:val="28"/>
          <w:szCs w:val="28"/>
        </w:rPr>
      </w:pPr>
      <w:bookmarkStart w:id="24" w:name="_Toc21169"/>
      <w:r>
        <w:rPr>
          <w:rFonts w:hint="eastAsia" w:ascii="仿宋" w:hAnsi="仿宋" w:eastAsia="仿宋" w:cs="仿宋"/>
          <w:b/>
          <w:bCs/>
          <w:spacing w:val="1"/>
          <w:sz w:val="28"/>
          <w:szCs w:val="28"/>
        </w:rPr>
        <w:t>1.会计报表编制基础</w:t>
      </w:r>
      <w:bookmarkEnd w:id="24"/>
    </w:p>
    <w:p>
      <w:pPr>
        <w:keepNext w:val="0"/>
        <w:keepLines w:val="0"/>
        <w:pageBreakBefore w:val="0"/>
        <w:widowControl/>
        <w:kinsoku w:val="0"/>
        <w:wordWrap/>
        <w:overflowPunct/>
        <w:topLinePunct w:val="0"/>
        <w:autoSpaceDE w:val="0"/>
        <w:autoSpaceDN w:val="0"/>
        <w:bidi w:val="0"/>
        <w:adjustRightInd w:val="0"/>
        <w:snapToGrid w:val="0"/>
        <w:spacing w:before="120" w:beforeLines="50" w:line="396" w:lineRule="auto"/>
        <w:ind w:left="40" w:firstLine="624" w:firstLineChars="200"/>
        <w:textAlignment w:val="baseline"/>
        <w:rPr>
          <w:rFonts w:hint="eastAsia" w:ascii="仿宋" w:hAnsi="仿宋" w:eastAsia="仿宋" w:cs="仿宋"/>
          <w:spacing w:val="11"/>
          <w:kern w:val="0"/>
          <w:sz w:val="29"/>
          <w:szCs w:val="29"/>
        </w:rPr>
      </w:pPr>
      <w:r>
        <w:rPr>
          <w:rFonts w:hint="eastAsia" w:ascii="仿宋" w:hAnsi="仿宋" w:eastAsia="仿宋" w:cs="仿宋"/>
          <w:spacing w:val="11"/>
          <w:kern w:val="0"/>
          <w:sz w:val="29"/>
          <w:szCs w:val="29"/>
        </w:rPr>
        <w:t>按照《财政部关于印发＜政府财务报告编制办法(试行)＞的通知》（财库〔2015〕212号）、《财政部关于修订印发＜政府部门财务报告编制操作指南(试行)＞的通知》（财库〔2018〕29号）规定，以权责发生制为基础编制2022年度政府部门财务报告。</w:t>
      </w:r>
    </w:p>
    <w:p>
      <w:pPr>
        <w:keepNext w:val="0"/>
        <w:keepLines w:val="0"/>
        <w:pageBreakBefore w:val="0"/>
        <w:widowControl/>
        <w:kinsoku w:val="0"/>
        <w:wordWrap/>
        <w:overflowPunct/>
        <w:topLinePunct w:val="0"/>
        <w:autoSpaceDE w:val="0"/>
        <w:autoSpaceDN w:val="0"/>
        <w:bidi w:val="0"/>
        <w:adjustRightInd w:val="0"/>
        <w:snapToGrid w:val="0"/>
        <w:spacing w:before="12" w:line="224" w:lineRule="auto"/>
        <w:ind w:left="28" w:right="11" w:firstLine="420"/>
        <w:textAlignment w:val="baseline"/>
        <w:outlineLvl w:val="2"/>
        <w:rPr>
          <w:rFonts w:hint="eastAsia" w:ascii="仿宋" w:hAnsi="仿宋" w:eastAsia="仿宋" w:cs="仿宋"/>
          <w:b/>
          <w:bCs/>
          <w:spacing w:val="1"/>
          <w:sz w:val="28"/>
          <w:szCs w:val="28"/>
        </w:rPr>
      </w:pPr>
      <w:r>
        <w:rPr>
          <w:rFonts w:hint="eastAsia" w:ascii="仿宋" w:hAnsi="仿宋" w:eastAsia="仿宋" w:cs="仿宋"/>
          <w:b/>
          <w:bCs/>
          <w:spacing w:val="1"/>
          <w:sz w:val="28"/>
          <w:szCs w:val="28"/>
        </w:rPr>
        <w:t>2.遵循相关制度规定的声明</w:t>
      </w:r>
    </w:p>
    <w:p>
      <w:pPr>
        <w:keepNext w:val="0"/>
        <w:keepLines w:val="0"/>
        <w:pageBreakBefore w:val="0"/>
        <w:widowControl/>
        <w:kinsoku w:val="0"/>
        <w:wordWrap/>
        <w:overflowPunct/>
        <w:topLinePunct w:val="0"/>
        <w:autoSpaceDE w:val="0"/>
        <w:autoSpaceDN w:val="0"/>
        <w:bidi w:val="0"/>
        <w:adjustRightInd w:val="0"/>
        <w:snapToGrid w:val="0"/>
        <w:spacing w:before="120" w:beforeLines="50" w:line="396" w:lineRule="auto"/>
        <w:ind w:left="40" w:firstLine="624" w:firstLineChars="200"/>
        <w:textAlignment w:val="baseline"/>
        <w:rPr>
          <w:rFonts w:hint="eastAsia" w:ascii="仿宋" w:hAnsi="仿宋" w:eastAsia="仿宋" w:cs="仿宋"/>
          <w:spacing w:val="11"/>
          <w:kern w:val="0"/>
          <w:sz w:val="29"/>
          <w:szCs w:val="29"/>
        </w:rPr>
      </w:pPr>
      <w:r>
        <w:rPr>
          <w:rFonts w:hint="eastAsia" w:ascii="仿宋" w:hAnsi="仿宋" w:eastAsia="仿宋" w:cs="仿宋"/>
          <w:spacing w:val="11"/>
          <w:kern w:val="0"/>
          <w:sz w:val="29"/>
          <w:szCs w:val="29"/>
        </w:rPr>
        <w:t>声明编制的会计报表符合政府会计准则、相关会计制度和财务报告编制规定的要求，如实反映政府部门的财务状况、运行情况等有关信息。</w:t>
      </w:r>
    </w:p>
    <w:p>
      <w:pPr>
        <w:keepNext w:val="0"/>
        <w:keepLines w:val="0"/>
        <w:pageBreakBefore w:val="0"/>
        <w:widowControl/>
        <w:kinsoku w:val="0"/>
        <w:wordWrap/>
        <w:overflowPunct/>
        <w:topLinePunct w:val="0"/>
        <w:autoSpaceDE w:val="0"/>
        <w:autoSpaceDN w:val="0"/>
        <w:bidi w:val="0"/>
        <w:adjustRightInd w:val="0"/>
        <w:snapToGrid w:val="0"/>
        <w:spacing w:before="12" w:line="224" w:lineRule="auto"/>
        <w:ind w:left="28" w:right="11" w:firstLine="420"/>
        <w:textAlignment w:val="baseline"/>
        <w:outlineLvl w:val="2"/>
        <w:rPr>
          <w:rFonts w:hint="eastAsia" w:ascii="仿宋" w:hAnsi="仿宋" w:eastAsia="仿宋" w:cs="仿宋"/>
          <w:b/>
          <w:bCs/>
          <w:spacing w:val="1"/>
          <w:sz w:val="28"/>
          <w:szCs w:val="28"/>
        </w:rPr>
      </w:pPr>
      <w:r>
        <w:rPr>
          <w:rFonts w:hint="eastAsia" w:ascii="仿宋" w:hAnsi="仿宋" w:eastAsia="仿宋" w:cs="仿宋"/>
          <w:b/>
          <w:bCs/>
          <w:spacing w:val="1"/>
          <w:sz w:val="28"/>
          <w:szCs w:val="28"/>
        </w:rPr>
        <w:t>3.合并范围</w:t>
      </w:r>
    </w:p>
    <w:p>
      <w:pPr>
        <w:keepNext w:val="0"/>
        <w:keepLines w:val="0"/>
        <w:pageBreakBefore w:val="0"/>
        <w:widowControl/>
        <w:kinsoku w:val="0"/>
        <w:wordWrap/>
        <w:overflowPunct/>
        <w:topLinePunct w:val="0"/>
        <w:autoSpaceDE w:val="0"/>
        <w:autoSpaceDN w:val="0"/>
        <w:bidi w:val="0"/>
        <w:adjustRightInd w:val="0"/>
        <w:snapToGrid w:val="0"/>
        <w:spacing w:before="120" w:beforeLines="50" w:line="396" w:lineRule="auto"/>
        <w:ind w:left="40" w:firstLine="624" w:firstLineChars="200"/>
        <w:textAlignment w:val="baseline"/>
        <w:rPr>
          <w:rFonts w:hint="eastAsia" w:ascii="仿宋" w:hAnsi="仿宋" w:eastAsia="仿宋" w:cs="仿宋"/>
          <w:spacing w:val="11"/>
          <w:kern w:val="0"/>
          <w:sz w:val="29"/>
          <w:szCs w:val="29"/>
        </w:rPr>
      </w:pPr>
      <w:r>
        <w:rPr>
          <w:rFonts w:hint="eastAsia" w:ascii="仿宋" w:hAnsi="仿宋" w:eastAsia="仿宋" w:cs="仿宋"/>
          <w:spacing w:val="11"/>
          <w:kern w:val="0"/>
          <w:sz w:val="29"/>
          <w:szCs w:val="29"/>
        </w:rPr>
        <w:t>报表编制主体为湖南省财政要求合并。</w:t>
      </w:r>
    </w:p>
    <w:p>
      <w:pPr>
        <w:keepNext w:val="0"/>
        <w:keepLines w:val="0"/>
        <w:pageBreakBefore w:val="0"/>
        <w:widowControl/>
        <w:kinsoku w:val="0"/>
        <w:wordWrap/>
        <w:overflowPunct/>
        <w:topLinePunct w:val="0"/>
        <w:autoSpaceDE w:val="0"/>
        <w:autoSpaceDN w:val="0"/>
        <w:bidi w:val="0"/>
        <w:adjustRightInd w:val="0"/>
        <w:snapToGrid w:val="0"/>
        <w:spacing w:before="12" w:line="224" w:lineRule="auto"/>
        <w:ind w:left="28" w:right="11" w:firstLine="420"/>
        <w:textAlignment w:val="baseline"/>
        <w:outlineLvl w:val="2"/>
        <w:rPr>
          <w:rFonts w:hint="eastAsia" w:ascii="仿宋" w:hAnsi="仿宋" w:eastAsia="仿宋" w:cs="仿宋"/>
          <w:b/>
          <w:bCs/>
          <w:spacing w:val="1"/>
          <w:sz w:val="28"/>
          <w:szCs w:val="28"/>
        </w:rPr>
      </w:pPr>
      <w:r>
        <w:rPr>
          <w:rFonts w:hint="eastAsia" w:ascii="仿宋" w:hAnsi="仿宋" w:eastAsia="仿宋" w:cs="仿宋"/>
          <w:b/>
          <w:bCs/>
          <w:spacing w:val="1"/>
          <w:sz w:val="28"/>
          <w:szCs w:val="28"/>
        </w:rPr>
        <w:t>4.重要会计政策与会计估计变更情况</w:t>
      </w:r>
    </w:p>
    <w:p>
      <w:pPr>
        <w:keepNext w:val="0"/>
        <w:keepLines w:val="0"/>
        <w:pageBreakBefore w:val="0"/>
        <w:widowControl/>
        <w:kinsoku w:val="0"/>
        <w:wordWrap/>
        <w:overflowPunct/>
        <w:topLinePunct w:val="0"/>
        <w:autoSpaceDE w:val="0"/>
        <w:autoSpaceDN w:val="0"/>
        <w:bidi w:val="0"/>
        <w:adjustRightInd w:val="0"/>
        <w:snapToGrid w:val="0"/>
        <w:spacing w:before="120" w:beforeLines="50" w:line="396" w:lineRule="auto"/>
        <w:ind w:left="40" w:firstLine="624" w:firstLineChars="200"/>
        <w:textAlignment w:val="baseline"/>
        <w:rPr>
          <w:rFonts w:hint="eastAsia" w:ascii="仿宋" w:hAnsi="仿宋" w:eastAsia="仿宋" w:cs="仿宋"/>
          <w:spacing w:val="11"/>
          <w:kern w:val="0"/>
          <w:sz w:val="29"/>
          <w:szCs w:val="29"/>
        </w:rPr>
      </w:pPr>
      <w:r>
        <w:rPr>
          <w:rFonts w:hint="eastAsia" w:ascii="仿宋" w:hAnsi="仿宋" w:eastAsia="仿宋" w:cs="仿宋"/>
          <w:spacing w:val="11"/>
          <w:kern w:val="0"/>
          <w:sz w:val="29"/>
          <w:szCs w:val="29"/>
        </w:rPr>
        <w:t>重要会计政策与会计估计包括：</w:t>
      </w:r>
    </w:p>
    <w:p>
      <w:pPr>
        <w:keepNext w:val="0"/>
        <w:keepLines w:val="0"/>
        <w:pageBreakBefore w:val="0"/>
        <w:widowControl/>
        <w:kinsoku w:val="0"/>
        <w:wordWrap/>
        <w:overflowPunct/>
        <w:topLinePunct w:val="0"/>
        <w:autoSpaceDE w:val="0"/>
        <w:autoSpaceDN w:val="0"/>
        <w:bidi w:val="0"/>
        <w:adjustRightInd w:val="0"/>
        <w:snapToGrid w:val="0"/>
        <w:spacing w:before="120" w:beforeLines="50" w:line="396" w:lineRule="auto"/>
        <w:ind w:left="40" w:firstLine="624" w:firstLineChars="200"/>
        <w:textAlignment w:val="baseline"/>
        <w:rPr>
          <w:rFonts w:hint="eastAsia" w:ascii="仿宋" w:hAnsi="仿宋" w:eastAsia="仿宋" w:cs="仿宋"/>
          <w:spacing w:val="11"/>
          <w:kern w:val="0"/>
          <w:sz w:val="29"/>
          <w:szCs w:val="29"/>
        </w:rPr>
      </w:pPr>
      <w:r>
        <w:rPr>
          <w:rFonts w:hint="eastAsia" w:ascii="仿宋" w:hAnsi="仿宋" w:eastAsia="仿宋" w:cs="仿宋"/>
          <w:spacing w:val="11"/>
          <w:kern w:val="0"/>
          <w:sz w:val="29"/>
          <w:szCs w:val="29"/>
        </w:rPr>
        <w:t>（1）会计期间。2022年1月1日至2022年12月31日。</w:t>
      </w:r>
    </w:p>
    <w:p>
      <w:pPr>
        <w:keepNext w:val="0"/>
        <w:keepLines w:val="0"/>
        <w:pageBreakBefore w:val="0"/>
        <w:widowControl/>
        <w:kinsoku w:val="0"/>
        <w:wordWrap/>
        <w:overflowPunct/>
        <w:topLinePunct w:val="0"/>
        <w:autoSpaceDE w:val="0"/>
        <w:autoSpaceDN w:val="0"/>
        <w:bidi w:val="0"/>
        <w:adjustRightInd w:val="0"/>
        <w:snapToGrid w:val="0"/>
        <w:spacing w:before="120" w:beforeLines="50" w:line="396" w:lineRule="auto"/>
        <w:ind w:left="40" w:firstLine="624" w:firstLineChars="200"/>
        <w:textAlignment w:val="baseline"/>
        <w:rPr>
          <w:rFonts w:hint="eastAsia" w:ascii="仿宋" w:hAnsi="仿宋" w:eastAsia="仿宋" w:cs="仿宋"/>
          <w:spacing w:val="11"/>
          <w:kern w:val="0"/>
          <w:sz w:val="29"/>
          <w:szCs w:val="29"/>
        </w:rPr>
      </w:pPr>
      <w:r>
        <w:rPr>
          <w:rFonts w:hint="eastAsia" w:ascii="仿宋" w:hAnsi="仿宋" w:eastAsia="仿宋" w:cs="仿宋"/>
          <w:spacing w:val="11"/>
          <w:kern w:val="0"/>
          <w:sz w:val="29"/>
          <w:szCs w:val="29"/>
        </w:rPr>
        <w:t>（2）记账本位币：所有项目均以人民币为记账本位币。</w:t>
      </w:r>
    </w:p>
    <w:p>
      <w:pPr>
        <w:keepNext w:val="0"/>
        <w:keepLines w:val="0"/>
        <w:pageBreakBefore w:val="0"/>
        <w:widowControl/>
        <w:kinsoku w:val="0"/>
        <w:wordWrap/>
        <w:overflowPunct/>
        <w:topLinePunct w:val="0"/>
        <w:autoSpaceDE w:val="0"/>
        <w:autoSpaceDN w:val="0"/>
        <w:bidi w:val="0"/>
        <w:adjustRightInd w:val="0"/>
        <w:snapToGrid w:val="0"/>
        <w:spacing w:before="120" w:beforeLines="50" w:line="396" w:lineRule="auto"/>
        <w:ind w:left="40" w:firstLine="624" w:firstLineChars="200"/>
        <w:textAlignment w:val="baseline"/>
        <w:rPr>
          <w:rFonts w:hint="eastAsia" w:ascii="仿宋" w:hAnsi="仿宋" w:eastAsia="仿宋" w:cs="仿宋"/>
          <w:spacing w:val="11"/>
          <w:kern w:val="0"/>
          <w:sz w:val="29"/>
          <w:szCs w:val="29"/>
        </w:rPr>
      </w:pPr>
      <w:r>
        <w:rPr>
          <w:rFonts w:hint="eastAsia" w:ascii="仿宋" w:hAnsi="仿宋" w:eastAsia="仿宋" w:cs="仿宋"/>
          <w:spacing w:val="11"/>
          <w:kern w:val="0"/>
          <w:sz w:val="29"/>
          <w:szCs w:val="29"/>
        </w:rPr>
        <w:t>（3）会计报表中重要资产、负债、收入和费用项目的含义、确认原则、计量方法等会计政策，以及具体会计方法的解释和说明。</w:t>
      </w:r>
    </w:p>
    <w:p>
      <w:pPr>
        <w:keepNext w:val="0"/>
        <w:keepLines w:val="0"/>
        <w:pageBreakBefore w:val="0"/>
        <w:widowControl/>
        <w:kinsoku w:val="0"/>
        <w:wordWrap/>
        <w:overflowPunct/>
        <w:topLinePunct w:val="0"/>
        <w:autoSpaceDE w:val="0"/>
        <w:autoSpaceDN w:val="0"/>
        <w:bidi w:val="0"/>
        <w:adjustRightInd w:val="0"/>
        <w:snapToGrid w:val="0"/>
        <w:spacing w:before="120" w:beforeLines="50" w:line="396" w:lineRule="auto"/>
        <w:ind w:left="40" w:firstLine="624" w:firstLineChars="200"/>
        <w:textAlignment w:val="baseline"/>
        <w:rPr>
          <w:rFonts w:hint="eastAsia" w:ascii="仿宋" w:hAnsi="仿宋" w:eastAsia="仿宋" w:cs="仿宋"/>
          <w:spacing w:val="11"/>
          <w:kern w:val="0"/>
          <w:sz w:val="29"/>
          <w:szCs w:val="29"/>
        </w:rPr>
      </w:pPr>
      <w:r>
        <w:rPr>
          <w:rFonts w:hint="eastAsia" w:ascii="仿宋" w:hAnsi="仿宋" w:eastAsia="仿宋" w:cs="仿宋"/>
          <w:spacing w:val="11"/>
          <w:kern w:val="0"/>
          <w:sz w:val="29"/>
          <w:szCs w:val="29"/>
        </w:rPr>
        <w:t>会计报表中重要资产、负债、收入和费用项目的含义、确认原则、计量方法均按照《财政部关于印发＜政府财务报告编制办法(试行)＞的通知》（财库〔2015〕212号）、《财政部关于修订印发＜政府部门财务报告编制操作指南(试行)＞的通知》（财库〔2018〕29号）规定实施。</w:t>
      </w:r>
    </w:p>
    <w:p>
      <w:pPr>
        <w:keepNext w:val="0"/>
        <w:keepLines w:val="0"/>
        <w:pageBreakBefore w:val="0"/>
        <w:widowControl/>
        <w:kinsoku w:val="0"/>
        <w:wordWrap/>
        <w:overflowPunct/>
        <w:topLinePunct w:val="0"/>
        <w:autoSpaceDE w:val="0"/>
        <w:autoSpaceDN w:val="0"/>
        <w:bidi w:val="0"/>
        <w:adjustRightInd w:val="0"/>
        <w:snapToGrid w:val="0"/>
        <w:spacing w:before="12" w:line="224" w:lineRule="auto"/>
        <w:ind w:left="28" w:right="11" w:firstLine="420"/>
        <w:textAlignment w:val="baseline"/>
        <w:outlineLvl w:val="2"/>
        <w:rPr>
          <w:rFonts w:hint="eastAsia" w:ascii="仿宋" w:hAnsi="仿宋" w:eastAsia="仿宋" w:cs="仿宋"/>
          <w:b/>
          <w:bCs/>
          <w:spacing w:val="1"/>
          <w:sz w:val="28"/>
          <w:szCs w:val="28"/>
        </w:rPr>
      </w:pPr>
      <w:r>
        <w:rPr>
          <w:rFonts w:hint="eastAsia" w:ascii="仿宋" w:hAnsi="仿宋" w:eastAsia="仿宋" w:cs="仿宋"/>
          <w:b/>
          <w:bCs/>
          <w:spacing w:val="1"/>
          <w:sz w:val="28"/>
          <w:szCs w:val="28"/>
        </w:rPr>
        <w:t>5.会计报表重要项目的明细信息及说明</w:t>
      </w:r>
    </w:p>
    <w:p>
      <w:pPr>
        <w:spacing w:before="94" w:line="360" w:lineRule="auto"/>
        <w:ind w:firstLine="588" w:firstLineChars="200"/>
        <w:rPr>
          <w:rFonts w:hint="eastAsia" w:ascii="仿宋" w:hAnsi="仿宋" w:eastAsia="仿宋" w:cs="仿宋"/>
          <w:spacing w:val="2"/>
          <w:sz w:val="29"/>
          <w:szCs w:val="29"/>
          <w:lang w:val="en-US" w:eastAsia="zh-CN"/>
        </w:rPr>
      </w:pPr>
      <w:bookmarkStart w:id="25" w:name="ML_1_2_HBZJMXXXB1"/>
      <w:r>
        <w:rPr>
          <w:rFonts w:ascii="仿宋" w:hAnsi="仿宋" w:eastAsia="仿宋" w:cs="仿宋"/>
          <w:spacing w:val="2"/>
          <w:kern w:val="0"/>
          <w:sz w:val="29"/>
          <w:szCs w:val="29"/>
        </w:rPr>
        <w:t>(1) 货币资金明细信息（无）</w:t>
      </w:r>
      <w:bookmarkEnd w:id="25"/>
      <w:r>
        <w:rPr>
          <w:rFonts w:hint="eastAsia" w:ascii="仿宋" w:hAnsi="仿宋" w:eastAsia="仿宋" w:cs="仿宋"/>
          <w:spacing w:val="2"/>
          <w:kern w:val="0"/>
          <w:sz w:val="29"/>
          <w:szCs w:val="29"/>
          <w:lang w:val="en-US" w:eastAsia="zh-CN"/>
        </w:rPr>
        <w:t xml:space="preserve"> </w:t>
      </w:r>
    </w:p>
    <w:p>
      <w:pPr>
        <w:spacing w:before="94" w:line="360" w:lineRule="auto"/>
        <w:ind w:firstLine="588" w:firstLineChars="200"/>
        <w:rPr>
          <w:rFonts w:hint="eastAsia" w:ascii="仿宋" w:hAnsi="仿宋" w:eastAsia="仿宋" w:cs="仿宋"/>
          <w:spacing w:val="2"/>
          <w:kern w:val="0"/>
          <w:sz w:val="29"/>
          <w:szCs w:val="29"/>
          <w:lang w:val="en-US" w:eastAsia="zh-CN"/>
        </w:rPr>
      </w:pPr>
      <w:bookmarkStart w:id="26" w:name="ML_1_2_YSPJMXXXB2"/>
      <w:r>
        <w:rPr>
          <w:rFonts w:ascii="仿宋" w:hAnsi="仿宋" w:eastAsia="仿宋" w:cs="仿宋"/>
          <w:spacing w:val="2"/>
          <w:kern w:val="0"/>
          <w:sz w:val="29"/>
          <w:szCs w:val="29"/>
        </w:rPr>
        <w:t>(2) 应收票据明细信息（无）</w:t>
      </w:r>
      <w:bookmarkEnd w:id="26"/>
      <w:r>
        <w:rPr>
          <w:rFonts w:hint="eastAsia" w:ascii="仿宋" w:hAnsi="仿宋" w:eastAsia="仿宋" w:cs="仿宋"/>
          <w:spacing w:val="2"/>
          <w:kern w:val="0"/>
          <w:sz w:val="29"/>
          <w:szCs w:val="29"/>
          <w:lang w:val="en-US" w:eastAsia="zh-CN"/>
        </w:rPr>
        <w:t xml:space="preserve"> </w:t>
      </w:r>
    </w:p>
    <w:p>
      <w:pPr>
        <w:widowControl w:val="0"/>
        <w:kinsoku/>
        <w:snapToGrid/>
        <w:spacing w:line="0" w:lineRule="atLeast"/>
        <w:textAlignment w:val="auto"/>
        <w:rPr>
          <w:rFonts w:ascii="Times New Roman" w:hAnsi="Times New Roman" w:eastAsia="Times New Roman" w:cs="Times New Roman"/>
          <w:snapToGrid/>
          <w:color w:val="auto"/>
          <w:sz w:val="2"/>
          <w:szCs w:val="24"/>
        </w:rPr>
      </w:pPr>
      <w:bookmarkStart w:id="27" w:name="ML_1_2_YSZKJEMXXXB3"/>
      <w:bookmarkEnd w:id="27"/>
    </w:p>
    <w:tbl>
      <w:tblPr>
        <w:tblStyle w:val="8"/>
        <w:tblW w:w="9551" w:type="dxa"/>
        <w:tblInd w:w="5" w:type="dxa"/>
        <w:tblLayout w:type="fixed"/>
        <w:tblCellMar>
          <w:top w:w="0" w:type="dxa"/>
          <w:left w:w="0" w:type="dxa"/>
          <w:bottom w:w="0" w:type="dxa"/>
          <w:right w:w="0" w:type="dxa"/>
        </w:tblCellMar>
      </w:tblPr>
      <w:tblGrid>
        <w:gridCol w:w="3129"/>
        <w:gridCol w:w="1571"/>
        <w:gridCol w:w="1719"/>
        <w:gridCol w:w="1509"/>
        <w:gridCol w:w="1619"/>
      </w:tblGrid>
      <w:tr>
        <w:trPr>
          <w:trHeight w:val="566" w:hRule="exact"/>
        </w:trPr>
        <w:tc>
          <w:tcPr>
            <w:tcW w:w="9547"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330" w:lineRule="exact"/>
              <w:ind w:left="20"/>
              <w:textAlignment w:val="auto"/>
              <w:rPr>
                <w:rFonts w:ascii="仿宋" w:hAnsi="Times New Roman" w:eastAsia="仿宋" w:cs="仿宋"/>
                <w:snapToGrid/>
                <w:sz w:val="28"/>
                <w:szCs w:val="24"/>
              </w:rPr>
            </w:pPr>
            <w:r>
              <w:rPr>
                <w:rFonts w:ascii="仿宋" w:hAnsi="Times New Roman" w:eastAsia="仿宋" w:cs="仿宋"/>
                <w:snapToGrid/>
                <w:sz w:val="28"/>
                <w:szCs w:val="24"/>
              </w:rPr>
              <w:t xml:space="preserve">    (3) 应收账款净额明细如下：</w:t>
            </w:r>
          </w:p>
        </w:tc>
      </w:tr>
      <w:tr>
        <w:tblPrEx>
          <w:tblCellMar>
            <w:top w:w="0" w:type="dxa"/>
            <w:left w:w="0" w:type="dxa"/>
            <w:bottom w:w="0" w:type="dxa"/>
            <w:right w:w="0" w:type="dxa"/>
          </w:tblCellMar>
        </w:tblPrEx>
        <w:trPr>
          <w:trHeight w:val="396" w:hRule="exact"/>
        </w:trPr>
        <w:tc>
          <w:tcPr>
            <w:tcW w:w="9547"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snapToGrid/>
                <w:sz w:val="20"/>
                <w:szCs w:val="24"/>
              </w:rPr>
              <w:t>附表3</w:t>
            </w:r>
          </w:p>
        </w:tc>
      </w:tr>
      <w:tr>
        <w:tblPrEx>
          <w:tblCellMar>
            <w:top w:w="0" w:type="dxa"/>
            <w:left w:w="0" w:type="dxa"/>
            <w:bottom w:w="0" w:type="dxa"/>
            <w:right w:w="0" w:type="dxa"/>
          </w:tblCellMar>
        </w:tblPrEx>
        <w:trPr>
          <w:trHeight w:val="396" w:hRule="exact"/>
        </w:trPr>
        <w:tc>
          <w:tcPr>
            <w:tcW w:w="9547"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应收账款净额明细表</w:t>
            </w:r>
          </w:p>
        </w:tc>
      </w:tr>
      <w:tr>
        <w:tblPrEx>
          <w:tblCellMar>
            <w:top w:w="0" w:type="dxa"/>
            <w:left w:w="0" w:type="dxa"/>
            <w:bottom w:w="0" w:type="dxa"/>
            <w:right w:w="0" w:type="dxa"/>
          </w:tblCellMar>
        </w:tblPrEx>
        <w:trPr>
          <w:trHeight w:val="340" w:hRule="exact"/>
        </w:trPr>
        <w:tc>
          <w:tcPr>
            <w:tcW w:w="9547"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2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单位：万元</w:t>
            </w:r>
          </w:p>
        </w:tc>
      </w:tr>
      <w:tr>
        <w:trPr>
          <w:trHeight w:val="396" w:hRule="exact"/>
        </w:trPr>
        <w:tc>
          <w:tcPr>
            <w:tcW w:w="3129" w:type="dxa"/>
            <w:vMerge w:val="restart"/>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债务人</w:t>
            </w:r>
          </w:p>
        </w:tc>
        <w:tc>
          <w:tcPr>
            <w:tcW w:w="1571"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应收账款原值</w:t>
            </w:r>
          </w:p>
        </w:tc>
        <w:tc>
          <w:tcPr>
            <w:tcW w:w="3228" w:type="dxa"/>
            <w:gridSpan w:val="2"/>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减：坏账准备</w:t>
            </w:r>
          </w:p>
        </w:tc>
        <w:tc>
          <w:tcPr>
            <w:tcW w:w="161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应收账款净值</w:t>
            </w:r>
          </w:p>
        </w:tc>
      </w:tr>
      <w:tr>
        <w:tblPrEx>
          <w:tblCellMar>
            <w:top w:w="0" w:type="dxa"/>
            <w:left w:w="0" w:type="dxa"/>
            <w:bottom w:w="0" w:type="dxa"/>
            <w:right w:w="0" w:type="dxa"/>
          </w:tblCellMar>
        </w:tblPrEx>
        <w:trPr>
          <w:trHeight w:val="396" w:hRule="exact"/>
        </w:trPr>
        <w:tc>
          <w:tcPr>
            <w:tcW w:w="3129" w:type="dxa"/>
            <w:vMerge w:val="continue"/>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textAlignment w:val="auto"/>
              <w:rPr>
                <w:rFonts w:ascii="宋体" w:hAnsi="Times New Roman" w:eastAsia="宋体" w:cs="宋体"/>
                <w:snapToGrid/>
                <w:sz w:val="20"/>
                <w:szCs w:val="24"/>
              </w:rPr>
            </w:pPr>
          </w:p>
        </w:tc>
        <w:tc>
          <w:tcPr>
            <w:tcW w:w="1571" w:type="dxa"/>
            <w:tcBorders>
              <w:top w:val="single" w:color="FFFFFF" w:sz="4"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年末数</w:t>
            </w:r>
          </w:p>
        </w:tc>
        <w:tc>
          <w:tcPr>
            <w:tcW w:w="1719" w:type="dxa"/>
            <w:tcBorders>
              <w:top w:val="single" w:color="FFFFFF" w:sz="4"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当期补提或冲减数</w:t>
            </w:r>
          </w:p>
        </w:tc>
        <w:tc>
          <w:tcPr>
            <w:tcW w:w="1509" w:type="dxa"/>
            <w:tcBorders>
              <w:top w:val="single" w:color="FFFFFF" w:sz="4"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年末数</w:t>
            </w:r>
          </w:p>
        </w:tc>
        <w:tc>
          <w:tcPr>
            <w:tcW w:w="1619" w:type="dxa"/>
            <w:tcBorders>
              <w:top w:val="single" w:color="FFFFFF" w:sz="4"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年末数</w:t>
            </w:r>
          </w:p>
        </w:tc>
      </w:tr>
      <w:tr>
        <w:tblPrEx>
          <w:tblCellMar>
            <w:top w:w="0" w:type="dxa"/>
            <w:left w:w="0" w:type="dxa"/>
            <w:bottom w:w="0" w:type="dxa"/>
            <w:right w:w="0" w:type="dxa"/>
          </w:tblCellMar>
        </w:tblPrEx>
        <w:trPr>
          <w:trHeight w:val="385" w:hRule="exact"/>
        </w:trPr>
        <w:tc>
          <w:tcPr>
            <w:tcW w:w="31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应收本部门内部单位</w:t>
            </w:r>
          </w:p>
        </w:tc>
        <w:tc>
          <w:tcPr>
            <w:tcW w:w="1571"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71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50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61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1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应收本部门以外的同级政府单位</w:t>
            </w:r>
          </w:p>
        </w:tc>
        <w:tc>
          <w:tcPr>
            <w:tcW w:w="1571"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71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50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61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480" w:hRule="exact"/>
        </w:trPr>
        <w:tc>
          <w:tcPr>
            <w:tcW w:w="31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应收本部门以外的非同级政府单位</w:t>
            </w:r>
          </w:p>
        </w:tc>
        <w:tc>
          <w:tcPr>
            <w:tcW w:w="1571"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71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50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61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385" w:hRule="exact"/>
        </w:trPr>
        <w:tc>
          <w:tcPr>
            <w:tcW w:w="31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应收其他单位</w:t>
            </w:r>
          </w:p>
        </w:tc>
        <w:tc>
          <w:tcPr>
            <w:tcW w:w="1571"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3.31</w:t>
            </w:r>
          </w:p>
        </w:tc>
        <w:tc>
          <w:tcPr>
            <w:tcW w:w="171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50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61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3.31</w:t>
            </w:r>
          </w:p>
        </w:tc>
      </w:tr>
      <w:tr>
        <w:trPr>
          <w:trHeight w:val="385" w:hRule="exact"/>
        </w:trPr>
        <w:tc>
          <w:tcPr>
            <w:tcW w:w="312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1180"/>
              <w:textAlignment w:val="auto"/>
              <w:rPr>
                <w:rFonts w:ascii="宋体" w:hAnsi="Times New Roman" w:eastAsia="宋体" w:cs="宋体"/>
                <w:snapToGrid/>
                <w:sz w:val="20"/>
                <w:szCs w:val="24"/>
              </w:rPr>
            </w:pPr>
            <w:r>
              <w:rPr>
                <w:rFonts w:ascii="宋体" w:hAnsi="Times New Roman" w:eastAsia="宋体" w:cs="宋体"/>
                <w:b/>
                <w:snapToGrid/>
                <w:sz w:val="20"/>
                <w:szCs w:val="24"/>
              </w:rPr>
              <w:t>合计</w:t>
            </w:r>
          </w:p>
        </w:tc>
        <w:tc>
          <w:tcPr>
            <w:tcW w:w="1571"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3.31</w:t>
            </w:r>
          </w:p>
        </w:tc>
        <w:tc>
          <w:tcPr>
            <w:tcW w:w="171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50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61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3.31</w:t>
            </w:r>
          </w:p>
        </w:tc>
      </w:tr>
      <w:tr>
        <w:trPr>
          <w:trHeight w:val="390" w:hRule="exact"/>
        </w:trPr>
        <w:tc>
          <w:tcPr>
            <w:tcW w:w="9547"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snapToGrid/>
                <w:sz w:val="20"/>
                <w:szCs w:val="24"/>
              </w:rPr>
              <w:t>注：当期坏账准备冲减数以“-”号填列。</w:t>
            </w:r>
          </w:p>
        </w:tc>
      </w:tr>
    </w:tbl>
    <w:p>
      <w:pPr>
        <w:spacing w:before="94" w:line="360" w:lineRule="auto"/>
        <w:ind w:firstLine="588" w:firstLineChars="200"/>
        <w:rPr>
          <w:rFonts w:hint="eastAsia" w:ascii="仿宋" w:hAnsi="仿宋" w:eastAsia="仿宋" w:cs="仿宋"/>
          <w:spacing w:val="2"/>
          <w:kern w:val="0"/>
          <w:sz w:val="29"/>
          <w:szCs w:val="29"/>
          <w:lang w:val="en-US" w:eastAsia="zh-CN"/>
        </w:rPr>
      </w:pPr>
      <w:r>
        <w:rPr>
          <w:rFonts w:hint="eastAsia" w:ascii="仿宋" w:hAnsi="仿宋" w:eastAsia="仿宋" w:cs="仿宋"/>
          <w:spacing w:val="2"/>
          <w:kern w:val="0"/>
          <w:sz w:val="29"/>
          <w:szCs w:val="29"/>
          <w:lang w:val="en-US" w:eastAsia="zh-CN"/>
        </w:rPr>
        <w:t xml:space="preserve"> </w:t>
      </w:r>
    </w:p>
    <w:p>
      <w:pPr>
        <w:spacing w:before="94" w:line="360" w:lineRule="auto"/>
        <w:ind w:firstLine="588" w:firstLineChars="200"/>
        <w:rPr>
          <w:rFonts w:hint="eastAsia" w:ascii="仿宋" w:hAnsi="仿宋" w:eastAsia="仿宋" w:cs="仿宋"/>
          <w:spacing w:val="4"/>
          <w:sz w:val="29"/>
          <w:szCs w:val="29"/>
          <w:lang w:val="en-US" w:eastAsia="zh-CN"/>
        </w:rPr>
      </w:pPr>
      <w:bookmarkStart w:id="28" w:name="ML_1_2_YFZKMXXXB4"/>
      <w:r>
        <w:rPr>
          <w:rFonts w:ascii="仿宋" w:hAnsi="仿宋" w:eastAsia="仿宋" w:cs="仿宋"/>
          <w:spacing w:val="2"/>
          <w:kern w:val="0"/>
          <w:sz w:val="29"/>
          <w:szCs w:val="29"/>
        </w:rPr>
        <w:t>(4) 预付账款明细信息（无）</w:t>
      </w:r>
      <w:bookmarkEnd w:id="28"/>
      <w:r>
        <w:rPr>
          <w:rFonts w:hint="eastAsia" w:ascii="仿宋" w:hAnsi="仿宋" w:eastAsia="仿宋" w:cs="仿宋"/>
          <w:spacing w:val="2"/>
          <w:kern w:val="0"/>
          <w:sz w:val="29"/>
          <w:szCs w:val="29"/>
          <w:lang w:val="en-US" w:eastAsia="zh-CN"/>
        </w:rPr>
        <w:t xml:space="preserve"> </w:t>
      </w:r>
    </w:p>
    <w:p>
      <w:pPr>
        <w:widowControl w:val="0"/>
        <w:kinsoku/>
        <w:snapToGrid/>
        <w:spacing w:line="0" w:lineRule="atLeast"/>
        <w:textAlignment w:val="auto"/>
        <w:rPr>
          <w:rFonts w:ascii="Times New Roman" w:hAnsi="Times New Roman" w:eastAsia="Times New Roman" w:cs="Times New Roman"/>
          <w:snapToGrid/>
          <w:color w:val="auto"/>
          <w:sz w:val="2"/>
          <w:szCs w:val="24"/>
        </w:rPr>
      </w:pPr>
      <w:bookmarkStart w:id="29" w:name="ML_1_2_QTYSKJEMXXXB5"/>
      <w:bookmarkEnd w:id="29"/>
    </w:p>
    <w:tbl>
      <w:tblPr>
        <w:tblStyle w:val="8"/>
        <w:tblW w:w="9666" w:type="dxa"/>
        <w:tblInd w:w="5" w:type="dxa"/>
        <w:tblLayout w:type="fixed"/>
        <w:tblCellMar>
          <w:top w:w="0" w:type="dxa"/>
          <w:left w:w="0" w:type="dxa"/>
          <w:bottom w:w="0" w:type="dxa"/>
          <w:right w:w="0" w:type="dxa"/>
        </w:tblCellMar>
      </w:tblPr>
      <w:tblGrid>
        <w:gridCol w:w="3749"/>
        <w:gridCol w:w="2039"/>
        <w:gridCol w:w="1020"/>
        <w:gridCol w:w="1020"/>
        <w:gridCol w:w="1835"/>
      </w:tblGrid>
      <w:tr>
        <w:trPr>
          <w:trHeight w:val="566" w:hRule="exact"/>
        </w:trPr>
        <w:tc>
          <w:tcPr>
            <w:tcW w:w="9663"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330" w:lineRule="exact"/>
              <w:ind w:left="20"/>
              <w:textAlignment w:val="auto"/>
              <w:rPr>
                <w:rFonts w:ascii="仿宋" w:hAnsi="Times New Roman" w:eastAsia="仿宋" w:cs="仿宋"/>
                <w:snapToGrid/>
                <w:sz w:val="28"/>
                <w:szCs w:val="24"/>
              </w:rPr>
            </w:pPr>
            <w:r>
              <w:rPr>
                <w:rFonts w:ascii="仿宋" w:hAnsi="Times New Roman" w:eastAsia="仿宋" w:cs="仿宋"/>
                <w:snapToGrid/>
                <w:sz w:val="28"/>
                <w:szCs w:val="24"/>
              </w:rPr>
              <w:t xml:space="preserve">    (5) 其他应收款净额明细信息如下</w:t>
            </w:r>
          </w:p>
        </w:tc>
      </w:tr>
      <w:tr>
        <w:tblPrEx>
          <w:tblCellMar>
            <w:top w:w="0" w:type="dxa"/>
            <w:left w:w="0" w:type="dxa"/>
            <w:bottom w:w="0" w:type="dxa"/>
            <w:right w:w="0" w:type="dxa"/>
          </w:tblCellMar>
        </w:tblPrEx>
        <w:trPr>
          <w:trHeight w:val="396" w:hRule="exact"/>
        </w:trPr>
        <w:tc>
          <w:tcPr>
            <w:tcW w:w="9663"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snapToGrid/>
                <w:sz w:val="20"/>
                <w:szCs w:val="24"/>
              </w:rPr>
              <w:t>附表5</w:t>
            </w:r>
          </w:p>
        </w:tc>
      </w:tr>
      <w:tr>
        <w:tblPrEx>
          <w:tblCellMar>
            <w:top w:w="0" w:type="dxa"/>
            <w:left w:w="0" w:type="dxa"/>
            <w:bottom w:w="0" w:type="dxa"/>
            <w:right w:w="0" w:type="dxa"/>
          </w:tblCellMar>
        </w:tblPrEx>
        <w:trPr>
          <w:trHeight w:val="396" w:hRule="exact"/>
        </w:trPr>
        <w:tc>
          <w:tcPr>
            <w:tcW w:w="9663"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其他应收款净额明细表</w:t>
            </w:r>
          </w:p>
        </w:tc>
      </w:tr>
      <w:tr>
        <w:tblPrEx>
          <w:tblCellMar>
            <w:top w:w="0" w:type="dxa"/>
            <w:left w:w="0" w:type="dxa"/>
            <w:bottom w:w="0" w:type="dxa"/>
            <w:right w:w="0" w:type="dxa"/>
          </w:tblCellMar>
        </w:tblPrEx>
        <w:trPr>
          <w:trHeight w:val="340" w:hRule="exact"/>
        </w:trPr>
        <w:tc>
          <w:tcPr>
            <w:tcW w:w="9663"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2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单位：万元</w:t>
            </w:r>
          </w:p>
        </w:tc>
      </w:tr>
      <w:tr>
        <w:trPr>
          <w:trHeight w:val="396" w:hRule="exact"/>
        </w:trPr>
        <w:tc>
          <w:tcPr>
            <w:tcW w:w="3749" w:type="dxa"/>
            <w:vMerge w:val="restart"/>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债务人</w:t>
            </w:r>
          </w:p>
        </w:tc>
        <w:tc>
          <w:tcPr>
            <w:tcW w:w="203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其他应收款原值</w:t>
            </w:r>
          </w:p>
        </w:tc>
        <w:tc>
          <w:tcPr>
            <w:tcW w:w="204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减：坏账准备</w:t>
            </w:r>
          </w:p>
        </w:tc>
        <w:tc>
          <w:tcPr>
            <w:tcW w:w="1835"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其他应收款净值</w:t>
            </w:r>
          </w:p>
        </w:tc>
      </w:tr>
      <w:tr>
        <w:tblPrEx>
          <w:tblCellMar>
            <w:top w:w="0" w:type="dxa"/>
            <w:left w:w="0" w:type="dxa"/>
            <w:bottom w:w="0" w:type="dxa"/>
            <w:right w:w="0" w:type="dxa"/>
          </w:tblCellMar>
        </w:tblPrEx>
        <w:trPr>
          <w:trHeight w:val="793" w:hRule="exact"/>
        </w:trPr>
        <w:tc>
          <w:tcPr>
            <w:tcW w:w="3749" w:type="dxa"/>
            <w:vMerge w:val="continue"/>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textAlignment w:val="auto"/>
              <w:rPr>
                <w:rFonts w:ascii="宋体" w:hAnsi="Times New Roman" w:eastAsia="宋体" w:cs="宋体"/>
                <w:snapToGrid/>
                <w:sz w:val="20"/>
                <w:szCs w:val="24"/>
              </w:rPr>
            </w:pPr>
          </w:p>
        </w:tc>
        <w:tc>
          <w:tcPr>
            <w:tcW w:w="203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年末数</w:t>
            </w:r>
          </w:p>
        </w:tc>
        <w:tc>
          <w:tcPr>
            <w:tcW w:w="1020" w:type="dxa"/>
            <w:tcBorders>
              <w:top w:val="single" w:color="000000" w:sz="8" w:space="0"/>
              <w:left w:val="single" w:color="000000" w:sz="8"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当期补提或冲减数</w:t>
            </w:r>
          </w:p>
        </w:tc>
        <w:tc>
          <w:tcPr>
            <w:tcW w:w="1020" w:type="dxa"/>
            <w:tcBorders>
              <w:top w:val="single" w:color="000000" w:sz="8" w:space="0"/>
              <w:left w:val="single" w:color="FFFFFF" w:sz="4" w:space="0"/>
              <w:bottom w:val="single" w:color="000000" w:sz="8" w:space="0"/>
              <w:right w:val="single" w:color="000000" w:sz="8"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年末数</w:t>
            </w:r>
          </w:p>
        </w:tc>
        <w:tc>
          <w:tcPr>
            <w:tcW w:w="1835"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年末数</w:t>
            </w:r>
          </w:p>
        </w:tc>
      </w:tr>
      <w:tr>
        <w:tblPrEx>
          <w:tblCellMar>
            <w:top w:w="0" w:type="dxa"/>
            <w:left w:w="0" w:type="dxa"/>
            <w:bottom w:w="0" w:type="dxa"/>
            <w:right w:w="0" w:type="dxa"/>
          </w:tblCellMar>
        </w:tblPrEx>
        <w:trPr>
          <w:trHeight w:val="385" w:hRule="exact"/>
        </w:trPr>
        <w:tc>
          <w:tcPr>
            <w:tcW w:w="374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b/>
                <w:snapToGrid/>
                <w:sz w:val="20"/>
                <w:szCs w:val="24"/>
              </w:rPr>
              <w:t>应收本部门内部单位</w:t>
            </w:r>
          </w:p>
        </w:tc>
        <w:tc>
          <w:tcPr>
            <w:tcW w:w="203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020"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020" w:type="dxa"/>
            <w:tcBorders>
              <w:top w:val="single" w:color="FFFFFF" w:sz="4" w:space="0"/>
              <w:left w:val="single" w:color="FFFFFF" w:sz="4" w:space="0"/>
              <w:bottom w:val="single" w:color="FFFFFF" w:sz="4" w:space="0"/>
              <w:right w:val="single" w:color="000000" w:sz="8"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835"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74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b/>
                <w:snapToGrid/>
                <w:sz w:val="20"/>
                <w:szCs w:val="24"/>
              </w:rPr>
              <w:t>应收本部门以外的同级政府单位</w:t>
            </w:r>
          </w:p>
        </w:tc>
        <w:tc>
          <w:tcPr>
            <w:tcW w:w="203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020"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020" w:type="dxa"/>
            <w:tcBorders>
              <w:top w:val="single" w:color="FFFFFF" w:sz="4" w:space="0"/>
              <w:left w:val="single" w:color="FFFFFF" w:sz="4" w:space="0"/>
              <w:bottom w:val="single" w:color="FFFFFF" w:sz="4" w:space="0"/>
              <w:right w:val="single" w:color="000000" w:sz="8"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835"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74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b/>
                <w:snapToGrid/>
                <w:sz w:val="20"/>
                <w:szCs w:val="24"/>
              </w:rPr>
              <w:t>应收本部门以外的非同级政府单位</w:t>
            </w:r>
          </w:p>
        </w:tc>
        <w:tc>
          <w:tcPr>
            <w:tcW w:w="203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020"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020" w:type="dxa"/>
            <w:tcBorders>
              <w:top w:val="single" w:color="FFFFFF" w:sz="4" w:space="0"/>
              <w:left w:val="single" w:color="FFFFFF" w:sz="4" w:space="0"/>
              <w:bottom w:val="single" w:color="FFFFFF" w:sz="4" w:space="0"/>
              <w:right w:val="single" w:color="000000" w:sz="8"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835"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385" w:hRule="exact"/>
        </w:trPr>
        <w:tc>
          <w:tcPr>
            <w:tcW w:w="374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b/>
                <w:snapToGrid/>
                <w:sz w:val="20"/>
                <w:szCs w:val="24"/>
              </w:rPr>
              <w:t>应收同级财政</w:t>
            </w:r>
          </w:p>
        </w:tc>
        <w:tc>
          <w:tcPr>
            <w:tcW w:w="203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655.85</w:t>
            </w:r>
          </w:p>
        </w:tc>
        <w:tc>
          <w:tcPr>
            <w:tcW w:w="1020"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020" w:type="dxa"/>
            <w:tcBorders>
              <w:top w:val="single" w:color="FFFFFF" w:sz="4" w:space="0"/>
              <w:left w:val="single" w:color="FFFFFF" w:sz="4" w:space="0"/>
              <w:bottom w:val="single" w:color="FFFFFF" w:sz="4" w:space="0"/>
              <w:right w:val="single" w:color="000000" w:sz="8"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835"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655.85</w:t>
            </w:r>
          </w:p>
        </w:tc>
      </w:tr>
      <w:tr>
        <w:trPr>
          <w:trHeight w:val="385" w:hRule="exact"/>
        </w:trPr>
        <w:tc>
          <w:tcPr>
            <w:tcW w:w="374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b/>
                <w:snapToGrid/>
                <w:sz w:val="20"/>
                <w:szCs w:val="24"/>
              </w:rPr>
              <w:t>应收其他单位</w:t>
            </w:r>
          </w:p>
        </w:tc>
        <w:tc>
          <w:tcPr>
            <w:tcW w:w="203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3,824.68</w:t>
            </w:r>
          </w:p>
        </w:tc>
        <w:tc>
          <w:tcPr>
            <w:tcW w:w="1020"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020" w:type="dxa"/>
            <w:tcBorders>
              <w:top w:val="single" w:color="FFFFFF" w:sz="4" w:space="0"/>
              <w:left w:val="single" w:color="FFFFFF" w:sz="4" w:space="0"/>
              <w:bottom w:val="single" w:color="FFFFFF" w:sz="4" w:space="0"/>
              <w:right w:val="single" w:color="000000" w:sz="8"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835"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3,824.68</w:t>
            </w:r>
          </w:p>
        </w:tc>
      </w:tr>
      <w:tr>
        <w:tblPrEx>
          <w:tblCellMar>
            <w:top w:w="0" w:type="dxa"/>
            <w:left w:w="0" w:type="dxa"/>
            <w:bottom w:w="0" w:type="dxa"/>
            <w:right w:w="0" w:type="dxa"/>
          </w:tblCellMar>
        </w:tblPrEx>
        <w:trPr>
          <w:trHeight w:val="385" w:hRule="exact"/>
        </w:trPr>
        <w:tc>
          <w:tcPr>
            <w:tcW w:w="374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1180"/>
              <w:textAlignment w:val="auto"/>
              <w:rPr>
                <w:rFonts w:ascii="宋体" w:hAnsi="Times New Roman" w:eastAsia="宋体" w:cs="宋体"/>
                <w:snapToGrid/>
                <w:sz w:val="20"/>
                <w:szCs w:val="24"/>
              </w:rPr>
            </w:pPr>
            <w:r>
              <w:rPr>
                <w:rFonts w:ascii="宋体" w:hAnsi="Times New Roman" w:eastAsia="宋体" w:cs="宋体"/>
                <w:b/>
                <w:snapToGrid/>
                <w:sz w:val="20"/>
                <w:szCs w:val="24"/>
              </w:rPr>
              <w:t>合计</w:t>
            </w:r>
          </w:p>
        </w:tc>
        <w:tc>
          <w:tcPr>
            <w:tcW w:w="203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4,480.53</w:t>
            </w:r>
          </w:p>
        </w:tc>
        <w:tc>
          <w:tcPr>
            <w:tcW w:w="10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0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835"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4,480.53</w:t>
            </w:r>
          </w:p>
        </w:tc>
      </w:tr>
      <w:tr>
        <w:tblPrEx>
          <w:tblCellMar>
            <w:top w:w="0" w:type="dxa"/>
            <w:left w:w="0" w:type="dxa"/>
            <w:bottom w:w="0" w:type="dxa"/>
            <w:right w:w="0" w:type="dxa"/>
          </w:tblCellMar>
        </w:tblPrEx>
        <w:trPr>
          <w:trHeight w:val="340" w:hRule="exact"/>
        </w:trPr>
        <w:tc>
          <w:tcPr>
            <w:tcW w:w="374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25" w:lineRule="exact"/>
              <w:ind w:left="20"/>
              <w:textAlignment w:val="auto"/>
              <w:rPr>
                <w:rFonts w:ascii="宋体" w:hAnsi="Times New Roman" w:eastAsia="宋体" w:cs="宋体"/>
                <w:snapToGrid/>
                <w:sz w:val="18"/>
                <w:szCs w:val="24"/>
              </w:rPr>
            </w:pPr>
            <w:r>
              <w:rPr>
                <w:rFonts w:ascii="宋体" w:hAnsi="Times New Roman" w:eastAsia="宋体" w:cs="宋体"/>
                <w:snapToGrid/>
                <w:sz w:val="18"/>
                <w:szCs w:val="24"/>
              </w:rPr>
              <w:t xml:space="preserve">注：当期坏账准备冲减数以“-”号填列。 </w:t>
            </w:r>
          </w:p>
        </w:tc>
        <w:tc>
          <w:tcPr>
            <w:tcW w:w="203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0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0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835"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bl>
    <w:p>
      <w:pPr>
        <w:spacing w:before="94" w:line="360" w:lineRule="auto"/>
        <w:ind w:firstLine="588" w:firstLineChars="200"/>
        <w:rPr>
          <w:rFonts w:hint="eastAsia" w:ascii="仿宋" w:hAnsi="仿宋" w:eastAsia="仿宋" w:cs="仿宋"/>
          <w:spacing w:val="2"/>
          <w:kern w:val="0"/>
          <w:sz w:val="29"/>
          <w:szCs w:val="29"/>
          <w:lang w:val="en-US" w:eastAsia="zh-CN"/>
        </w:rPr>
      </w:pPr>
      <w:r>
        <w:rPr>
          <w:rFonts w:hint="eastAsia" w:ascii="仿宋" w:hAnsi="仿宋" w:eastAsia="仿宋" w:cs="仿宋"/>
          <w:spacing w:val="2"/>
          <w:kern w:val="0"/>
          <w:sz w:val="29"/>
          <w:szCs w:val="29"/>
          <w:lang w:val="en-US" w:eastAsia="zh-CN"/>
        </w:rPr>
        <w:t xml:space="preserve"> </w:t>
      </w:r>
    </w:p>
    <w:p>
      <w:pPr>
        <w:spacing w:before="94" w:line="360" w:lineRule="auto"/>
        <w:ind w:firstLine="588" w:firstLineChars="200"/>
        <w:rPr>
          <w:rFonts w:hint="eastAsia" w:ascii="仿宋" w:hAnsi="仿宋" w:eastAsia="仿宋" w:cs="仿宋"/>
          <w:spacing w:val="2"/>
          <w:kern w:val="0"/>
          <w:sz w:val="29"/>
          <w:szCs w:val="29"/>
          <w:lang w:val="en-US" w:eastAsia="zh-CN"/>
        </w:rPr>
      </w:pPr>
      <w:bookmarkStart w:id="30" w:name="ML_1_2_CQTZJTZSYMXXXB6"/>
      <w:r>
        <w:rPr>
          <w:rFonts w:ascii="仿宋" w:hAnsi="仿宋" w:eastAsia="仿宋" w:cs="仿宋"/>
          <w:spacing w:val="2"/>
          <w:kern w:val="0"/>
          <w:sz w:val="29"/>
          <w:szCs w:val="29"/>
        </w:rPr>
        <w:t>(6) 长期投资及投资收益明细信息（无）</w:t>
      </w:r>
      <w:bookmarkEnd w:id="30"/>
      <w:r>
        <w:rPr>
          <w:rFonts w:hint="eastAsia" w:ascii="仿宋" w:hAnsi="仿宋" w:eastAsia="仿宋" w:cs="仿宋"/>
          <w:spacing w:val="2"/>
          <w:kern w:val="0"/>
          <w:sz w:val="29"/>
          <w:szCs w:val="29"/>
          <w:lang w:val="en-US" w:eastAsia="zh-CN"/>
        </w:rPr>
        <w:t xml:space="preserve"> </w:t>
      </w:r>
    </w:p>
    <w:p>
      <w:pPr>
        <w:widowControl w:val="0"/>
        <w:kinsoku/>
        <w:snapToGrid/>
        <w:spacing w:line="0" w:lineRule="atLeast"/>
        <w:textAlignment w:val="auto"/>
        <w:rPr>
          <w:rFonts w:ascii="Times New Roman" w:hAnsi="Times New Roman" w:eastAsia="Times New Roman" w:cs="Times New Roman"/>
          <w:snapToGrid/>
          <w:color w:val="auto"/>
          <w:sz w:val="2"/>
          <w:szCs w:val="24"/>
        </w:rPr>
      </w:pPr>
      <w:bookmarkStart w:id="31" w:name="ML_1_2_GDZCMXXXB7"/>
      <w:bookmarkEnd w:id="31"/>
    </w:p>
    <w:tbl>
      <w:tblPr>
        <w:tblStyle w:val="8"/>
        <w:tblW w:w="9232" w:type="dxa"/>
        <w:tblInd w:w="5" w:type="dxa"/>
        <w:tblLayout w:type="fixed"/>
        <w:tblCellMar>
          <w:top w:w="0" w:type="dxa"/>
          <w:left w:w="0" w:type="dxa"/>
          <w:bottom w:w="0" w:type="dxa"/>
          <w:right w:w="0" w:type="dxa"/>
        </w:tblCellMar>
      </w:tblPr>
      <w:tblGrid>
        <w:gridCol w:w="3563"/>
        <w:gridCol w:w="1417"/>
        <w:gridCol w:w="1417"/>
        <w:gridCol w:w="1417"/>
        <w:gridCol w:w="1417"/>
      </w:tblGrid>
      <w:tr>
        <w:trPr>
          <w:trHeight w:val="566" w:hRule="exact"/>
        </w:trPr>
        <w:tc>
          <w:tcPr>
            <w:tcW w:w="9231"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330" w:lineRule="exact"/>
              <w:ind w:left="20"/>
              <w:textAlignment w:val="auto"/>
              <w:rPr>
                <w:rFonts w:ascii="仿宋" w:hAnsi="Times New Roman" w:eastAsia="仿宋" w:cs="仿宋"/>
                <w:snapToGrid/>
                <w:sz w:val="28"/>
                <w:szCs w:val="24"/>
              </w:rPr>
            </w:pPr>
            <w:r>
              <w:rPr>
                <w:rFonts w:ascii="仿宋" w:hAnsi="Times New Roman" w:eastAsia="仿宋" w:cs="仿宋"/>
                <w:snapToGrid/>
                <w:sz w:val="28"/>
                <w:szCs w:val="24"/>
              </w:rPr>
              <w:t xml:space="preserve">    (7) 固定资产明细信息如下:</w:t>
            </w:r>
          </w:p>
        </w:tc>
      </w:tr>
      <w:tr>
        <w:tblPrEx>
          <w:tblCellMar>
            <w:top w:w="0" w:type="dxa"/>
            <w:left w:w="0" w:type="dxa"/>
            <w:bottom w:w="0" w:type="dxa"/>
            <w:right w:w="0" w:type="dxa"/>
          </w:tblCellMar>
        </w:tblPrEx>
        <w:trPr>
          <w:trHeight w:val="396" w:hRule="exact"/>
        </w:trPr>
        <w:tc>
          <w:tcPr>
            <w:tcW w:w="9231"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snapToGrid/>
                <w:sz w:val="20"/>
                <w:szCs w:val="24"/>
              </w:rPr>
              <w:t>附表7</w:t>
            </w:r>
          </w:p>
        </w:tc>
      </w:tr>
      <w:tr>
        <w:tblPrEx>
          <w:tblCellMar>
            <w:top w:w="0" w:type="dxa"/>
            <w:left w:w="0" w:type="dxa"/>
            <w:bottom w:w="0" w:type="dxa"/>
            <w:right w:w="0" w:type="dxa"/>
          </w:tblCellMar>
        </w:tblPrEx>
        <w:trPr>
          <w:trHeight w:val="396" w:hRule="exact"/>
        </w:trPr>
        <w:tc>
          <w:tcPr>
            <w:tcW w:w="9231"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固定资产明细表</w:t>
            </w:r>
          </w:p>
        </w:tc>
      </w:tr>
      <w:tr>
        <w:tblPrEx>
          <w:tblCellMar>
            <w:top w:w="0" w:type="dxa"/>
            <w:left w:w="0" w:type="dxa"/>
            <w:bottom w:w="0" w:type="dxa"/>
            <w:right w:w="0" w:type="dxa"/>
          </w:tblCellMar>
        </w:tblPrEx>
        <w:trPr>
          <w:trHeight w:val="340" w:hRule="exact"/>
        </w:trPr>
        <w:tc>
          <w:tcPr>
            <w:tcW w:w="9231"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2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单位：万元</w:t>
            </w:r>
          </w:p>
        </w:tc>
      </w:tr>
      <w:tr>
        <w:tblPrEx>
          <w:tblCellMar>
            <w:top w:w="0" w:type="dxa"/>
            <w:left w:w="0" w:type="dxa"/>
            <w:bottom w:w="0" w:type="dxa"/>
            <w:right w:w="0" w:type="dxa"/>
          </w:tblCellMar>
        </w:tblPrEx>
        <w:trPr>
          <w:trHeight w:val="396" w:hRule="exact"/>
        </w:trPr>
        <w:tc>
          <w:tcPr>
            <w:tcW w:w="3563"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项目</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年初数</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本年增加</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本年减少</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年末数</w:t>
            </w:r>
          </w:p>
        </w:tc>
      </w:tr>
      <w:tr>
        <w:tblPrEx>
          <w:tblCellMar>
            <w:top w:w="0" w:type="dxa"/>
            <w:left w:w="0" w:type="dxa"/>
            <w:bottom w:w="0" w:type="dxa"/>
            <w:right w:w="0" w:type="dxa"/>
          </w:tblCellMar>
        </w:tblPrEx>
        <w:trPr>
          <w:trHeight w:val="385" w:hRule="exact"/>
        </w:trPr>
        <w:tc>
          <w:tcPr>
            <w:tcW w:w="3563" w:type="dxa"/>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b/>
                <w:snapToGrid/>
                <w:sz w:val="20"/>
                <w:szCs w:val="24"/>
              </w:rPr>
              <w:t>原值合计</w:t>
            </w:r>
          </w:p>
        </w:tc>
        <w:tc>
          <w:tcPr>
            <w:tcW w:w="1417" w:type="dxa"/>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990.05</w:t>
            </w:r>
          </w:p>
        </w:tc>
        <w:tc>
          <w:tcPr>
            <w:tcW w:w="1417" w:type="dxa"/>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37.37</w:t>
            </w:r>
          </w:p>
        </w:tc>
        <w:tc>
          <w:tcPr>
            <w:tcW w:w="1417" w:type="dxa"/>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49.71</w:t>
            </w:r>
          </w:p>
        </w:tc>
        <w:tc>
          <w:tcPr>
            <w:tcW w:w="1417" w:type="dxa"/>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977.71</w:t>
            </w:r>
          </w:p>
        </w:tc>
      </w:tr>
      <w:tr>
        <w:tblPrEx>
          <w:tblCellMar>
            <w:top w:w="0" w:type="dxa"/>
            <w:left w:w="0" w:type="dxa"/>
            <w:bottom w:w="0" w:type="dxa"/>
            <w:right w:w="0" w:type="dxa"/>
          </w:tblCellMar>
        </w:tblPrEx>
        <w:trPr>
          <w:trHeight w:val="385" w:hRule="exact"/>
        </w:trPr>
        <w:tc>
          <w:tcPr>
            <w:tcW w:w="356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房屋和构筑物</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6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设备</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990.05</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37.37</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49.71</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977.71</w:t>
            </w:r>
          </w:p>
        </w:tc>
      </w:tr>
      <w:tr>
        <w:tblPrEx>
          <w:tblCellMar>
            <w:top w:w="0" w:type="dxa"/>
            <w:left w:w="0" w:type="dxa"/>
            <w:bottom w:w="0" w:type="dxa"/>
            <w:right w:w="0" w:type="dxa"/>
          </w:tblCellMar>
        </w:tblPrEx>
        <w:trPr>
          <w:trHeight w:val="385" w:hRule="exact"/>
        </w:trPr>
        <w:tc>
          <w:tcPr>
            <w:tcW w:w="356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文物和陈列品</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6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图书和档案</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6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家具和用具</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6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特种动植物</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385" w:hRule="exact"/>
        </w:trPr>
        <w:tc>
          <w:tcPr>
            <w:tcW w:w="3563" w:type="dxa"/>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b/>
                <w:snapToGrid/>
                <w:sz w:val="20"/>
                <w:szCs w:val="24"/>
              </w:rPr>
              <w:t>累计折旧合计</w:t>
            </w:r>
          </w:p>
        </w:tc>
        <w:tc>
          <w:tcPr>
            <w:tcW w:w="1417" w:type="dxa"/>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460.05</w:t>
            </w:r>
          </w:p>
        </w:tc>
        <w:tc>
          <w:tcPr>
            <w:tcW w:w="1417" w:type="dxa"/>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41.54</w:t>
            </w:r>
          </w:p>
        </w:tc>
        <w:tc>
          <w:tcPr>
            <w:tcW w:w="1417" w:type="dxa"/>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51.11</w:t>
            </w:r>
          </w:p>
        </w:tc>
        <w:tc>
          <w:tcPr>
            <w:tcW w:w="1417" w:type="dxa"/>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450.48</w:t>
            </w:r>
          </w:p>
        </w:tc>
      </w:tr>
      <w:tr>
        <w:trPr>
          <w:trHeight w:val="385" w:hRule="exact"/>
        </w:trPr>
        <w:tc>
          <w:tcPr>
            <w:tcW w:w="356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房屋和构筑物</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6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设备</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460.05</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41.54</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51.11</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450.48</w:t>
            </w:r>
          </w:p>
        </w:tc>
      </w:tr>
      <w:tr>
        <w:tblPrEx>
          <w:tblCellMar>
            <w:top w:w="0" w:type="dxa"/>
            <w:left w:w="0" w:type="dxa"/>
            <w:bottom w:w="0" w:type="dxa"/>
            <w:right w:w="0" w:type="dxa"/>
          </w:tblCellMar>
        </w:tblPrEx>
        <w:trPr>
          <w:trHeight w:val="385" w:hRule="exact"/>
        </w:trPr>
        <w:tc>
          <w:tcPr>
            <w:tcW w:w="356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文物和陈列品</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6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图书和档案</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6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家具和用具</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6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特种动植物</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385" w:hRule="exact"/>
        </w:trPr>
        <w:tc>
          <w:tcPr>
            <w:tcW w:w="3563" w:type="dxa"/>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b/>
                <w:snapToGrid/>
                <w:sz w:val="20"/>
                <w:szCs w:val="24"/>
              </w:rPr>
              <w:t>净值合计</w:t>
            </w:r>
          </w:p>
        </w:tc>
        <w:tc>
          <w:tcPr>
            <w:tcW w:w="1417" w:type="dxa"/>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530.00</w:t>
            </w:r>
          </w:p>
        </w:tc>
        <w:tc>
          <w:tcPr>
            <w:tcW w:w="1417" w:type="dxa"/>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527.23</w:t>
            </w:r>
          </w:p>
        </w:tc>
      </w:tr>
      <w:tr>
        <w:trPr>
          <w:trHeight w:val="385" w:hRule="exact"/>
        </w:trPr>
        <w:tc>
          <w:tcPr>
            <w:tcW w:w="356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房屋和构筑物</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6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设备</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530.00</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527.23</w:t>
            </w:r>
          </w:p>
        </w:tc>
      </w:tr>
      <w:tr>
        <w:tblPrEx>
          <w:tblCellMar>
            <w:top w:w="0" w:type="dxa"/>
            <w:left w:w="0" w:type="dxa"/>
            <w:bottom w:w="0" w:type="dxa"/>
            <w:right w:w="0" w:type="dxa"/>
          </w:tblCellMar>
        </w:tblPrEx>
        <w:trPr>
          <w:trHeight w:val="385" w:hRule="exact"/>
        </w:trPr>
        <w:tc>
          <w:tcPr>
            <w:tcW w:w="356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文物和陈列品</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6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图书和档案</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6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家具和用具</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6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特种动植物</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285" w:hRule="exact"/>
        </w:trPr>
        <w:tc>
          <w:tcPr>
            <w:tcW w:w="3563" w:type="dxa"/>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417" w:type="dxa"/>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417" w:type="dxa"/>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417" w:type="dxa"/>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417" w:type="dxa"/>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bl>
    <w:p>
      <w:pPr>
        <w:spacing w:before="94" w:line="360" w:lineRule="auto"/>
        <w:ind w:firstLine="588" w:firstLineChars="200"/>
        <w:rPr>
          <w:rFonts w:hint="eastAsia" w:ascii="仿宋" w:hAnsi="仿宋" w:eastAsia="仿宋" w:cs="仿宋"/>
          <w:spacing w:val="2"/>
          <w:kern w:val="0"/>
          <w:sz w:val="29"/>
          <w:szCs w:val="29"/>
          <w:lang w:val="en-US" w:eastAsia="zh-CN"/>
        </w:rPr>
      </w:pPr>
      <w:r>
        <w:rPr>
          <w:rFonts w:hint="eastAsia" w:ascii="仿宋" w:hAnsi="仿宋" w:eastAsia="仿宋" w:cs="仿宋"/>
          <w:spacing w:val="2"/>
          <w:kern w:val="0"/>
          <w:sz w:val="29"/>
          <w:szCs w:val="29"/>
          <w:lang w:val="en-US" w:eastAsia="zh-CN"/>
        </w:rPr>
        <w:t xml:space="preserve"> </w:t>
      </w:r>
    </w:p>
    <w:p>
      <w:pPr>
        <w:widowControl w:val="0"/>
        <w:kinsoku/>
        <w:snapToGrid/>
        <w:spacing w:line="0" w:lineRule="atLeast"/>
        <w:textAlignment w:val="auto"/>
        <w:rPr>
          <w:rFonts w:ascii="Times New Roman" w:hAnsi="Times New Roman" w:eastAsia="Times New Roman" w:cs="Times New Roman"/>
          <w:snapToGrid/>
          <w:color w:val="auto"/>
          <w:sz w:val="2"/>
          <w:szCs w:val="24"/>
        </w:rPr>
      </w:pPr>
      <w:bookmarkStart w:id="32" w:name="ML_1_2_ZJGCMXXXB8"/>
      <w:bookmarkEnd w:id="32"/>
    </w:p>
    <w:tbl>
      <w:tblPr>
        <w:tblStyle w:val="8"/>
        <w:tblW w:w="8728" w:type="dxa"/>
        <w:tblInd w:w="5" w:type="dxa"/>
        <w:tblLayout w:type="fixed"/>
        <w:tblCellMar>
          <w:top w:w="0" w:type="dxa"/>
          <w:left w:w="0" w:type="dxa"/>
          <w:bottom w:w="0" w:type="dxa"/>
          <w:right w:w="0" w:type="dxa"/>
        </w:tblCellMar>
      </w:tblPr>
      <w:tblGrid>
        <w:gridCol w:w="3059"/>
        <w:gridCol w:w="1417"/>
        <w:gridCol w:w="1417"/>
        <w:gridCol w:w="1417"/>
        <w:gridCol w:w="1417"/>
      </w:tblGrid>
      <w:tr>
        <w:trPr>
          <w:trHeight w:val="566" w:hRule="exact"/>
        </w:trPr>
        <w:tc>
          <w:tcPr>
            <w:tcW w:w="8727"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330" w:lineRule="exact"/>
              <w:ind w:left="20"/>
              <w:textAlignment w:val="auto"/>
              <w:rPr>
                <w:rFonts w:ascii="仿宋" w:hAnsi="Times New Roman" w:eastAsia="仿宋" w:cs="仿宋"/>
                <w:snapToGrid/>
                <w:sz w:val="28"/>
                <w:szCs w:val="24"/>
              </w:rPr>
            </w:pPr>
            <w:r>
              <w:rPr>
                <w:rFonts w:ascii="仿宋" w:hAnsi="Times New Roman" w:eastAsia="仿宋" w:cs="仿宋"/>
                <w:snapToGrid/>
                <w:sz w:val="28"/>
                <w:szCs w:val="24"/>
              </w:rPr>
              <w:t xml:space="preserve">    (8) 在建工程明细信息如下:</w:t>
            </w:r>
          </w:p>
        </w:tc>
      </w:tr>
      <w:tr>
        <w:tblPrEx>
          <w:tblCellMar>
            <w:top w:w="0" w:type="dxa"/>
            <w:left w:w="0" w:type="dxa"/>
            <w:bottom w:w="0" w:type="dxa"/>
            <w:right w:w="0" w:type="dxa"/>
          </w:tblCellMar>
        </w:tblPrEx>
        <w:trPr>
          <w:trHeight w:val="396" w:hRule="exact"/>
        </w:trPr>
        <w:tc>
          <w:tcPr>
            <w:tcW w:w="8727"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snapToGrid/>
                <w:sz w:val="20"/>
                <w:szCs w:val="24"/>
              </w:rPr>
              <w:t>附表8</w:t>
            </w:r>
          </w:p>
        </w:tc>
      </w:tr>
      <w:tr>
        <w:tblPrEx>
          <w:tblCellMar>
            <w:top w:w="0" w:type="dxa"/>
            <w:left w:w="0" w:type="dxa"/>
            <w:bottom w:w="0" w:type="dxa"/>
            <w:right w:w="0" w:type="dxa"/>
          </w:tblCellMar>
        </w:tblPrEx>
        <w:trPr>
          <w:trHeight w:val="396" w:hRule="exact"/>
        </w:trPr>
        <w:tc>
          <w:tcPr>
            <w:tcW w:w="8727"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在建工程明细表</w:t>
            </w:r>
          </w:p>
        </w:tc>
      </w:tr>
      <w:tr>
        <w:tblPrEx>
          <w:tblCellMar>
            <w:top w:w="0" w:type="dxa"/>
            <w:left w:w="0" w:type="dxa"/>
            <w:bottom w:w="0" w:type="dxa"/>
            <w:right w:w="0" w:type="dxa"/>
          </w:tblCellMar>
        </w:tblPrEx>
        <w:trPr>
          <w:trHeight w:val="340" w:hRule="exact"/>
        </w:trPr>
        <w:tc>
          <w:tcPr>
            <w:tcW w:w="8727"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2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单位：万元</w:t>
            </w:r>
          </w:p>
        </w:tc>
      </w:tr>
      <w:tr>
        <w:tblPrEx>
          <w:tblCellMar>
            <w:top w:w="0" w:type="dxa"/>
            <w:left w:w="0" w:type="dxa"/>
            <w:bottom w:w="0" w:type="dxa"/>
            <w:right w:w="0" w:type="dxa"/>
          </w:tblCellMar>
        </w:tblPrEx>
        <w:trPr>
          <w:trHeight w:val="396" w:hRule="exact"/>
        </w:trPr>
        <w:tc>
          <w:tcPr>
            <w:tcW w:w="305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项目</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年初数</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本年增加</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本年减少</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年末数</w:t>
            </w:r>
          </w:p>
        </w:tc>
      </w:tr>
      <w:tr>
        <w:tblPrEx>
          <w:tblCellMar>
            <w:top w:w="0" w:type="dxa"/>
            <w:left w:w="0" w:type="dxa"/>
            <w:bottom w:w="0" w:type="dxa"/>
            <w:right w:w="0" w:type="dxa"/>
          </w:tblCellMar>
        </w:tblPrEx>
        <w:trPr>
          <w:trHeight w:val="385" w:hRule="exact"/>
        </w:trPr>
        <w:tc>
          <w:tcPr>
            <w:tcW w:w="305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水土保持</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18.50</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18.50</w:t>
            </w:r>
          </w:p>
        </w:tc>
        <w:tc>
          <w:tcPr>
            <w:tcW w:w="141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05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880"/>
              <w:textAlignment w:val="auto"/>
              <w:rPr>
                <w:rFonts w:ascii="宋体" w:hAnsi="Times New Roman" w:eastAsia="宋体" w:cs="宋体"/>
                <w:snapToGrid/>
                <w:sz w:val="20"/>
                <w:szCs w:val="24"/>
              </w:rPr>
            </w:pPr>
            <w:r>
              <w:rPr>
                <w:rFonts w:ascii="宋体" w:hAnsi="Times New Roman" w:eastAsia="宋体" w:cs="宋体"/>
                <w:b/>
                <w:snapToGrid/>
                <w:sz w:val="20"/>
                <w:szCs w:val="24"/>
              </w:rPr>
              <w:t>合计</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18.50</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18.50</w:t>
            </w:r>
          </w:p>
        </w:tc>
        <w:tc>
          <w:tcPr>
            <w:tcW w:w="141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40" w:hRule="exact"/>
        </w:trPr>
        <w:tc>
          <w:tcPr>
            <w:tcW w:w="8727"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25" w:lineRule="exact"/>
              <w:ind w:left="20"/>
              <w:textAlignment w:val="auto"/>
              <w:rPr>
                <w:rFonts w:ascii="宋体" w:hAnsi="Times New Roman" w:eastAsia="宋体" w:cs="宋体"/>
                <w:snapToGrid/>
                <w:sz w:val="18"/>
                <w:szCs w:val="24"/>
              </w:rPr>
            </w:pPr>
            <w:r>
              <w:rPr>
                <w:rFonts w:ascii="宋体" w:hAnsi="Times New Roman" w:eastAsia="宋体" w:cs="宋体"/>
                <w:snapToGrid/>
                <w:sz w:val="18"/>
                <w:szCs w:val="24"/>
              </w:rPr>
              <w:t>注：本表原则上按照项目金额从大到小列示前 20 项，其余部分合并填入其他项目</w:t>
            </w:r>
          </w:p>
        </w:tc>
      </w:tr>
    </w:tbl>
    <w:p>
      <w:pPr>
        <w:spacing w:before="94" w:line="360" w:lineRule="auto"/>
        <w:ind w:firstLine="588" w:firstLineChars="200"/>
        <w:rPr>
          <w:rFonts w:hint="eastAsia" w:ascii="仿宋" w:hAnsi="仿宋" w:eastAsia="仿宋" w:cs="仿宋"/>
          <w:spacing w:val="2"/>
          <w:kern w:val="0"/>
          <w:sz w:val="29"/>
          <w:szCs w:val="29"/>
          <w:lang w:val="en-US" w:eastAsia="zh-CN"/>
        </w:rPr>
      </w:pPr>
      <w:r>
        <w:rPr>
          <w:rFonts w:hint="eastAsia" w:ascii="仿宋" w:hAnsi="仿宋" w:eastAsia="仿宋" w:cs="仿宋"/>
          <w:spacing w:val="2"/>
          <w:kern w:val="0"/>
          <w:sz w:val="29"/>
          <w:szCs w:val="29"/>
          <w:lang w:val="en-US" w:eastAsia="zh-CN"/>
        </w:rPr>
        <w:t xml:space="preserve"> </w:t>
      </w:r>
    </w:p>
    <w:p>
      <w:pPr>
        <w:spacing w:before="94" w:line="360" w:lineRule="auto"/>
        <w:ind w:firstLine="588" w:firstLineChars="200"/>
        <w:rPr>
          <w:rFonts w:hint="eastAsia" w:ascii="仿宋" w:hAnsi="仿宋" w:eastAsia="仿宋" w:cs="仿宋"/>
          <w:spacing w:val="2"/>
          <w:kern w:val="0"/>
          <w:sz w:val="29"/>
          <w:szCs w:val="29"/>
          <w:lang w:val="en-US" w:eastAsia="zh-CN"/>
        </w:rPr>
      </w:pPr>
      <w:bookmarkStart w:id="33" w:name="ML_1_2_WXZCMXXXB9"/>
      <w:r>
        <w:rPr>
          <w:rFonts w:ascii="仿宋" w:hAnsi="仿宋" w:eastAsia="仿宋" w:cs="仿宋"/>
          <w:spacing w:val="2"/>
          <w:kern w:val="0"/>
          <w:sz w:val="29"/>
          <w:szCs w:val="29"/>
        </w:rPr>
        <w:t>(9) 无形资产明细信息（无）</w:t>
      </w:r>
      <w:bookmarkEnd w:id="33"/>
      <w:r>
        <w:rPr>
          <w:rFonts w:hint="eastAsia" w:ascii="仿宋" w:hAnsi="仿宋" w:eastAsia="仿宋" w:cs="仿宋"/>
          <w:spacing w:val="2"/>
          <w:kern w:val="0"/>
          <w:sz w:val="29"/>
          <w:szCs w:val="29"/>
          <w:lang w:val="en-US" w:eastAsia="zh-CN"/>
        </w:rPr>
        <w:t xml:space="preserve"> </w:t>
      </w:r>
    </w:p>
    <w:p>
      <w:pPr>
        <w:spacing w:before="94" w:line="360" w:lineRule="auto"/>
        <w:ind w:firstLine="588" w:firstLineChars="200"/>
        <w:rPr>
          <w:rFonts w:hint="eastAsia" w:ascii="仿宋" w:hAnsi="仿宋" w:eastAsia="仿宋" w:cs="仿宋"/>
          <w:spacing w:val="2"/>
          <w:kern w:val="0"/>
          <w:sz w:val="29"/>
          <w:szCs w:val="29"/>
          <w:lang w:val="en-US" w:eastAsia="zh-CN"/>
        </w:rPr>
      </w:pPr>
      <w:bookmarkStart w:id="34" w:name="ML_1_2_GGJCSSMXXXB10"/>
      <w:r>
        <w:rPr>
          <w:rFonts w:ascii="仿宋" w:hAnsi="仿宋" w:eastAsia="仿宋" w:cs="仿宋"/>
          <w:spacing w:val="2"/>
          <w:kern w:val="0"/>
          <w:sz w:val="29"/>
          <w:szCs w:val="29"/>
        </w:rPr>
        <w:t>(10) 公共基础设施明细信息（无）</w:t>
      </w:r>
      <w:bookmarkEnd w:id="34"/>
      <w:r>
        <w:rPr>
          <w:rFonts w:hint="eastAsia" w:ascii="仿宋" w:hAnsi="仿宋" w:eastAsia="仿宋" w:cs="仿宋"/>
          <w:spacing w:val="2"/>
          <w:kern w:val="0"/>
          <w:sz w:val="29"/>
          <w:szCs w:val="29"/>
          <w:lang w:val="en-US" w:eastAsia="zh-CN"/>
        </w:rPr>
        <w:t xml:space="preserve"> </w:t>
      </w:r>
    </w:p>
    <w:p>
      <w:pPr>
        <w:spacing w:before="94" w:line="360" w:lineRule="auto"/>
        <w:ind w:firstLine="588" w:firstLineChars="200"/>
        <w:rPr>
          <w:rFonts w:hint="eastAsia" w:ascii="仿宋" w:hAnsi="仿宋" w:eastAsia="仿宋" w:cs="仿宋"/>
          <w:spacing w:val="2"/>
          <w:kern w:val="0"/>
          <w:sz w:val="29"/>
          <w:szCs w:val="29"/>
          <w:lang w:val="en-US" w:eastAsia="zh-CN"/>
        </w:rPr>
      </w:pPr>
      <w:bookmarkStart w:id="35" w:name="ML_1_2_ZFCBWZMXXXB11"/>
      <w:r>
        <w:rPr>
          <w:rFonts w:ascii="仿宋" w:hAnsi="仿宋" w:eastAsia="仿宋" w:cs="仿宋"/>
          <w:spacing w:val="2"/>
          <w:kern w:val="0"/>
          <w:sz w:val="29"/>
          <w:szCs w:val="29"/>
        </w:rPr>
        <w:t>(11) 政府储备物资明细信息（无）</w:t>
      </w:r>
      <w:bookmarkEnd w:id="35"/>
      <w:r>
        <w:rPr>
          <w:rFonts w:hint="eastAsia" w:ascii="仿宋" w:hAnsi="仿宋" w:eastAsia="仿宋" w:cs="仿宋"/>
          <w:spacing w:val="2"/>
          <w:kern w:val="0"/>
          <w:sz w:val="29"/>
          <w:szCs w:val="29"/>
          <w:lang w:val="en-US" w:eastAsia="zh-CN"/>
        </w:rPr>
        <w:t xml:space="preserve"> </w:t>
      </w:r>
    </w:p>
    <w:p>
      <w:pPr>
        <w:spacing w:before="94" w:line="360" w:lineRule="auto"/>
        <w:ind w:firstLine="588" w:firstLineChars="200"/>
        <w:rPr>
          <w:rFonts w:ascii="仿宋" w:hAnsi="仿宋" w:eastAsia="仿宋" w:cs="仿宋"/>
          <w:spacing w:val="2"/>
          <w:kern w:val="0"/>
          <w:sz w:val="29"/>
          <w:szCs w:val="29"/>
        </w:rPr>
      </w:pPr>
      <w:bookmarkStart w:id="36" w:name="ML_1_2_BZXZFMXXXB12"/>
      <w:r>
        <w:rPr>
          <w:rFonts w:ascii="仿宋" w:hAnsi="仿宋" w:eastAsia="仿宋" w:cs="仿宋"/>
          <w:spacing w:val="2"/>
          <w:kern w:val="0"/>
          <w:sz w:val="29"/>
          <w:szCs w:val="29"/>
        </w:rPr>
        <w:t>(12) 保障性住房明细信息（无）</w:t>
      </w:r>
      <w:bookmarkEnd w:id="36"/>
    </w:p>
    <w:p>
      <w:pPr>
        <w:spacing w:before="94" w:line="360" w:lineRule="auto"/>
        <w:ind w:firstLine="588" w:firstLineChars="200"/>
        <w:rPr>
          <w:rFonts w:hint="eastAsia" w:ascii="仿宋" w:hAnsi="仿宋" w:eastAsia="仿宋" w:cs="仿宋"/>
          <w:spacing w:val="2"/>
          <w:kern w:val="0"/>
          <w:sz w:val="29"/>
          <w:szCs w:val="29"/>
          <w:lang w:val="en-US" w:eastAsia="zh-CN"/>
        </w:rPr>
      </w:pPr>
      <w:bookmarkStart w:id="37" w:name="ML_1_2_PPPXMZCMXB13"/>
      <w:r>
        <w:rPr>
          <w:rFonts w:ascii="仿宋" w:hAnsi="仿宋" w:eastAsia="仿宋" w:cs="仿宋"/>
          <w:spacing w:val="2"/>
          <w:kern w:val="0"/>
          <w:sz w:val="29"/>
          <w:szCs w:val="29"/>
        </w:rPr>
        <w:t>(13) PPP 项目资产明细表（无）</w:t>
      </w:r>
      <w:bookmarkEnd w:id="37"/>
      <w:r>
        <w:rPr>
          <w:rFonts w:hint="eastAsia" w:ascii="仿宋" w:hAnsi="仿宋" w:eastAsia="仿宋" w:cs="仿宋"/>
          <w:spacing w:val="2"/>
          <w:kern w:val="0"/>
          <w:sz w:val="29"/>
          <w:szCs w:val="29"/>
          <w:lang w:val="en-US" w:eastAsia="zh-CN"/>
        </w:rPr>
        <w:t xml:space="preserve"> </w:t>
      </w:r>
    </w:p>
    <w:p>
      <w:pPr>
        <w:spacing w:before="94" w:line="360" w:lineRule="auto"/>
        <w:ind w:firstLine="588" w:firstLineChars="200"/>
        <w:rPr>
          <w:rFonts w:hint="eastAsia" w:ascii="仿宋" w:hAnsi="仿宋" w:eastAsia="仿宋" w:cs="仿宋"/>
          <w:spacing w:val="2"/>
          <w:kern w:val="0"/>
          <w:sz w:val="29"/>
          <w:szCs w:val="29"/>
          <w:lang w:val="en-US" w:eastAsia="zh-CN"/>
        </w:rPr>
      </w:pPr>
      <w:bookmarkStart w:id="38" w:name="ML_1_2_YFPJMXXXB14"/>
      <w:r>
        <w:rPr>
          <w:rFonts w:ascii="仿宋" w:hAnsi="仿宋" w:eastAsia="仿宋" w:cs="仿宋"/>
          <w:spacing w:val="2"/>
          <w:kern w:val="0"/>
          <w:sz w:val="29"/>
          <w:szCs w:val="29"/>
        </w:rPr>
        <w:t>(14) 应付票据明细信息（无）</w:t>
      </w:r>
      <w:bookmarkEnd w:id="38"/>
      <w:r>
        <w:rPr>
          <w:rFonts w:hint="eastAsia" w:ascii="仿宋" w:hAnsi="仿宋" w:eastAsia="仿宋" w:cs="仿宋"/>
          <w:spacing w:val="2"/>
          <w:kern w:val="0"/>
          <w:sz w:val="29"/>
          <w:szCs w:val="29"/>
          <w:lang w:val="en-US" w:eastAsia="zh-CN"/>
        </w:rPr>
        <w:t xml:space="preserve"> </w:t>
      </w:r>
    </w:p>
    <w:p>
      <w:pPr>
        <w:widowControl w:val="0"/>
        <w:kinsoku/>
        <w:snapToGrid/>
        <w:spacing w:line="0" w:lineRule="atLeast"/>
        <w:textAlignment w:val="auto"/>
        <w:rPr>
          <w:rFonts w:ascii="Times New Roman" w:hAnsi="Times New Roman" w:eastAsia="Times New Roman" w:cs="Times New Roman"/>
          <w:snapToGrid/>
          <w:color w:val="auto"/>
          <w:sz w:val="2"/>
          <w:szCs w:val="24"/>
        </w:rPr>
      </w:pPr>
      <w:bookmarkStart w:id="39" w:name="ML_1_2_YFZKMXXXB15"/>
      <w:bookmarkEnd w:id="39"/>
    </w:p>
    <w:tbl>
      <w:tblPr>
        <w:tblStyle w:val="8"/>
        <w:tblW w:w="8813" w:type="dxa"/>
        <w:tblInd w:w="5" w:type="dxa"/>
        <w:tblLayout w:type="fixed"/>
        <w:tblCellMar>
          <w:top w:w="0" w:type="dxa"/>
          <w:left w:w="0" w:type="dxa"/>
          <w:bottom w:w="0" w:type="dxa"/>
          <w:right w:w="0" w:type="dxa"/>
        </w:tblCellMar>
      </w:tblPr>
      <w:tblGrid>
        <w:gridCol w:w="3529"/>
        <w:gridCol w:w="1320"/>
        <w:gridCol w:w="1320"/>
        <w:gridCol w:w="1320"/>
        <w:gridCol w:w="1320"/>
      </w:tblGrid>
      <w:tr>
        <w:tblPrEx>
          <w:tblCellMar>
            <w:top w:w="0" w:type="dxa"/>
            <w:left w:w="0" w:type="dxa"/>
            <w:bottom w:w="0" w:type="dxa"/>
            <w:right w:w="0" w:type="dxa"/>
          </w:tblCellMar>
        </w:tblPrEx>
        <w:trPr>
          <w:trHeight w:val="566" w:hRule="exact"/>
        </w:trPr>
        <w:tc>
          <w:tcPr>
            <w:tcW w:w="8809"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330" w:lineRule="exact"/>
              <w:ind w:left="20"/>
              <w:textAlignment w:val="auto"/>
              <w:rPr>
                <w:rFonts w:ascii="仿宋" w:hAnsi="Times New Roman" w:eastAsia="仿宋" w:cs="仿宋"/>
                <w:snapToGrid/>
                <w:sz w:val="28"/>
                <w:szCs w:val="24"/>
              </w:rPr>
            </w:pPr>
            <w:r>
              <w:rPr>
                <w:rFonts w:ascii="仿宋" w:hAnsi="Times New Roman" w:eastAsia="仿宋" w:cs="仿宋"/>
                <w:snapToGrid/>
                <w:sz w:val="28"/>
                <w:szCs w:val="24"/>
              </w:rPr>
              <w:t xml:space="preserve">    (15) 应付账款明细信息如下：</w:t>
            </w:r>
          </w:p>
        </w:tc>
      </w:tr>
      <w:tr>
        <w:tblPrEx>
          <w:tblCellMar>
            <w:top w:w="0" w:type="dxa"/>
            <w:left w:w="0" w:type="dxa"/>
            <w:bottom w:w="0" w:type="dxa"/>
            <w:right w:w="0" w:type="dxa"/>
          </w:tblCellMar>
        </w:tblPrEx>
        <w:trPr>
          <w:trHeight w:val="396" w:hRule="exact"/>
        </w:trPr>
        <w:tc>
          <w:tcPr>
            <w:tcW w:w="8809"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snapToGrid/>
                <w:sz w:val="20"/>
                <w:szCs w:val="24"/>
              </w:rPr>
              <w:t>附表15</w:t>
            </w:r>
          </w:p>
        </w:tc>
      </w:tr>
      <w:tr>
        <w:tblPrEx>
          <w:tblCellMar>
            <w:top w:w="0" w:type="dxa"/>
            <w:left w:w="0" w:type="dxa"/>
            <w:bottom w:w="0" w:type="dxa"/>
            <w:right w:w="0" w:type="dxa"/>
          </w:tblCellMar>
        </w:tblPrEx>
        <w:trPr>
          <w:trHeight w:val="396" w:hRule="exact"/>
        </w:trPr>
        <w:tc>
          <w:tcPr>
            <w:tcW w:w="8809"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应付账款明细表</w:t>
            </w:r>
          </w:p>
        </w:tc>
      </w:tr>
      <w:tr>
        <w:tblPrEx>
          <w:tblCellMar>
            <w:top w:w="0" w:type="dxa"/>
            <w:left w:w="0" w:type="dxa"/>
            <w:bottom w:w="0" w:type="dxa"/>
            <w:right w:w="0" w:type="dxa"/>
          </w:tblCellMar>
        </w:tblPrEx>
        <w:trPr>
          <w:trHeight w:val="340" w:hRule="exact"/>
        </w:trPr>
        <w:tc>
          <w:tcPr>
            <w:tcW w:w="8809"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2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单位：万元</w:t>
            </w:r>
          </w:p>
        </w:tc>
      </w:tr>
      <w:tr>
        <w:tblPrEx>
          <w:tblCellMar>
            <w:top w:w="0" w:type="dxa"/>
            <w:left w:w="0" w:type="dxa"/>
            <w:bottom w:w="0" w:type="dxa"/>
            <w:right w:w="0" w:type="dxa"/>
          </w:tblCellMar>
        </w:tblPrEx>
        <w:trPr>
          <w:trHeight w:val="396" w:hRule="exact"/>
        </w:trPr>
        <w:tc>
          <w:tcPr>
            <w:tcW w:w="352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债权人</w:t>
            </w: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年末数</w:t>
            </w: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应付本部门内部单位</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应付本部门以外的同级政府单位</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应付本部门以外的非同级政府单位</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应付其他单位</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0.79</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rPr>
          <w:trHeight w:val="385" w:hRule="exact"/>
        </w:trPr>
        <w:tc>
          <w:tcPr>
            <w:tcW w:w="352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960"/>
              <w:textAlignment w:val="auto"/>
              <w:rPr>
                <w:rFonts w:ascii="宋体" w:hAnsi="Times New Roman" w:eastAsia="宋体" w:cs="宋体"/>
                <w:snapToGrid/>
                <w:sz w:val="20"/>
                <w:szCs w:val="24"/>
              </w:rPr>
            </w:pPr>
            <w:r>
              <w:rPr>
                <w:rFonts w:ascii="宋体" w:hAnsi="Times New Roman" w:eastAsia="宋体" w:cs="宋体"/>
                <w:b/>
                <w:snapToGrid/>
                <w:sz w:val="20"/>
                <w:szCs w:val="24"/>
              </w:rPr>
              <w:t>合计</w:t>
            </w: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0.79</w:t>
            </w: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bl>
    <w:p>
      <w:pPr>
        <w:spacing w:before="94" w:line="360" w:lineRule="auto"/>
        <w:ind w:firstLine="588" w:firstLineChars="200"/>
        <w:rPr>
          <w:rFonts w:hint="eastAsia" w:ascii="仿宋" w:hAnsi="仿宋" w:eastAsia="仿宋" w:cs="仿宋"/>
          <w:spacing w:val="2"/>
          <w:kern w:val="0"/>
          <w:sz w:val="29"/>
          <w:szCs w:val="29"/>
          <w:lang w:val="en-US" w:eastAsia="zh-CN"/>
        </w:rPr>
      </w:pPr>
      <w:r>
        <w:rPr>
          <w:rFonts w:hint="eastAsia" w:ascii="仿宋" w:hAnsi="仿宋" w:eastAsia="仿宋" w:cs="仿宋"/>
          <w:spacing w:val="2"/>
          <w:kern w:val="0"/>
          <w:sz w:val="29"/>
          <w:szCs w:val="29"/>
          <w:lang w:val="en-US" w:eastAsia="zh-CN"/>
        </w:rPr>
        <w:t xml:space="preserve"> </w:t>
      </w:r>
    </w:p>
    <w:p>
      <w:pPr>
        <w:spacing w:before="94" w:line="360" w:lineRule="auto"/>
        <w:ind w:firstLine="588" w:firstLineChars="200"/>
        <w:rPr>
          <w:rFonts w:hint="eastAsia" w:ascii="仿宋" w:hAnsi="仿宋" w:eastAsia="仿宋" w:cs="仿宋"/>
          <w:spacing w:val="2"/>
          <w:kern w:val="0"/>
          <w:sz w:val="29"/>
          <w:szCs w:val="29"/>
          <w:lang w:val="en-US" w:eastAsia="zh-CN"/>
        </w:rPr>
      </w:pPr>
      <w:bookmarkStart w:id="40" w:name="ML_1_2_YSZKMXXXB16"/>
      <w:r>
        <w:rPr>
          <w:rFonts w:ascii="仿宋" w:hAnsi="仿宋" w:eastAsia="仿宋" w:cs="仿宋"/>
          <w:spacing w:val="2"/>
          <w:kern w:val="0"/>
          <w:sz w:val="29"/>
          <w:szCs w:val="29"/>
        </w:rPr>
        <w:t>(16) 预收账款明细信息（无）</w:t>
      </w:r>
      <w:bookmarkEnd w:id="40"/>
      <w:r>
        <w:rPr>
          <w:rFonts w:hint="eastAsia" w:ascii="仿宋" w:hAnsi="仿宋" w:eastAsia="仿宋" w:cs="仿宋"/>
          <w:spacing w:val="2"/>
          <w:kern w:val="0"/>
          <w:sz w:val="29"/>
          <w:szCs w:val="29"/>
          <w:lang w:val="en-US" w:eastAsia="zh-CN"/>
        </w:rPr>
        <w:t xml:space="preserve"> </w:t>
      </w:r>
    </w:p>
    <w:p>
      <w:pPr>
        <w:widowControl w:val="0"/>
        <w:kinsoku/>
        <w:snapToGrid/>
        <w:spacing w:line="0" w:lineRule="atLeast"/>
        <w:textAlignment w:val="auto"/>
        <w:rPr>
          <w:rFonts w:ascii="Times New Roman" w:hAnsi="Times New Roman" w:eastAsia="Times New Roman" w:cs="Times New Roman"/>
          <w:snapToGrid/>
          <w:color w:val="auto"/>
          <w:sz w:val="2"/>
          <w:szCs w:val="24"/>
        </w:rPr>
      </w:pPr>
      <w:bookmarkStart w:id="41" w:name="ML_1_2_QTYFKMXXXB17"/>
      <w:bookmarkEnd w:id="41"/>
    </w:p>
    <w:tbl>
      <w:tblPr>
        <w:tblStyle w:val="8"/>
        <w:tblW w:w="8813" w:type="dxa"/>
        <w:tblInd w:w="5" w:type="dxa"/>
        <w:tblLayout w:type="fixed"/>
        <w:tblCellMar>
          <w:top w:w="0" w:type="dxa"/>
          <w:left w:w="0" w:type="dxa"/>
          <w:bottom w:w="0" w:type="dxa"/>
          <w:right w:w="0" w:type="dxa"/>
        </w:tblCellMar>
      </w:tblPr>
      <w:tblGrid>
        <w:gridCol w:w="3529"/>
        <w:gridCol w:w="1320"/>
        <w:gridCol w:w="1320"/>
        <w:gridCol w:w="1320"/>
        <w:gridCol w:w="1320"/>
      </w:tblGrid>
      <w:tr>
        <w:trPr>
          <w:trHeight w:val="566" w:hRule="exact"/>
        </w:trPr>
        <w:tc>
          <w:tcPr>
            <w:tcW w:w="8809"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330" w:lineRule="exact"/>
              <w:ind w:left="20"/>
              <w:textAlignment w:val="auto"/>
              <w:rPr>
                <w:rFonts w:ascii="仿宋" w:hAnsi="Times New Roman" w:eastAsia="仿宋" w:cs="仿宋"/>
                <w:snapToGrid/>
                <w:sz w:val="28"/>
                <w:szCs w:val="24"/>
              </w:rPr>
            </w:pPr>
            <w:r>
              <w:rPr>
                <w:rFonts w:ascii="仿宋" w:hAnsi="Times New Roman" w:eastAsia="仿宋" w:cs="仿宋"/>
                <w:snapToGrid/>
                <w:sz w:val="28"/>
                <w:szCs w:val="24"/>
              </w:rPr>
              <w:t xml:space="preserve">    (17) 其他应付款明细信息如下：</w:t>
            </w:r>
          </w:p>
        </w:tc>
      </w:tr>
      <w:tr>
        <w:tblPrEx>
          <w:tblCellMar>
            <w:top w:w="0" w:type="dxa"/>
            <w:left w:w="0" w:type="dxa"/>
            <w:bottom w:w="0" w:type="dxa"/>
            <w:right w:w="0" w:type="dxa"/>
          </w:tblCellMar>
        </w:tblPrEx>
        <w:trPr>
          <w:trHeight w:val="396" w:hRule="exact"/>
        </w:trPr>
        <w:tc>
          <w:tcPr>
            <w:tcW w:w="8809"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snapToGrid/>
                <w:sz w:val="20"/>
                <w:szCs w:val="24"/>
              </w:rPr>
              <w:t>附表17</w:t>
            </w:r>
          </w:p>
        </w:tc>
      </w:tr>
      <w:tr>
        <w:tblPrEx>
          <w:tblCellMar>
            <w:top w:w="0" w:type="dxa"/>
            <w:left w:w="0" w:type="dxa"/>
            <w:bottom w:w="0" w:type="dxa"/>
            <w:right w:w="0" w:type="dxa"/>
          </w:tblCellMar>
        </w:tblPrEx>
        <w:trPr>
          <w:trHeight w:val="396" w:hRule="exact"/>
        </w:trPr>
        <w:tc>
          <w:tcPr>
            <w:tcW w:w="8809"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其他应付款明细表</w:t>
            </w:r>
          </w:p>
        </w:tc>
      </w:tr>
      <w:tr>
        <w:tblPrEx>
          <w:tblCellMar>
            <w:top w:w="0" w:type="dxa"/>
            <w:left w:w="0" w:type="dxa"/>
            <w:bottom w:w="0" w:type="dxa"/>
            <w:right w:w="0" w:type="dxa"/>
          </w:tblCellMar>
        </w:tblPrEx>
        <w:trPr>
          <w:trHeight w:val="340" w:hRule="exact"/>
        </w:trPr>
        <w:tc>
          <w:tcPr>
            <w:tcW w:w="8809"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2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单位：万元</w:t>
            </w:r>
          </w:p>
        </w:tc>
      </w:tr>
      <w:tr>
        <w:tblPrEx>
          <w:tblCellMar>
            <w:top w:w="0" w:type="dxa"/>
            <w:left w:w="0" w:type="dxa"/>
            <w:bottom w:w="0" w:type="dxa"/>
            <w:right w:w="0" w:type="dxa"/>
          </w:tblCellMar>
        </w:tblPrEx>
        <w:trPr>
          <w:trHeight w:val="396" w:hRule="exact"/>
        </w:trPr>
        <w:tc>
          <w:tcPr>
            <w:tcW w:w="352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债权人</w:t>
            </w: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年末数</w:t>
            </w: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应付本部门内部单位</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应付本部门以外的同级政府单位</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应付本部门以外的非同级政府单位</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应付同级财政</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应付其他单位</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1,506.42</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rPr>
          <w:trHeight w:val="385" w:hRule="exact"/>
        </w:trPr>
        <w:tc>
          <w:tcPr>
            <w:tcW w:w="352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960"/>
              <w:textAlignment w:val="auto"/>
              <w:rPr>
                <w:rFonts w:ascii="宋体" w:hAnsi="Times New Roman" w:eastAsia="宋体" w:cs="宋体"/>
                <w:snapToGrid/>
                <w:sz w:val="20"/>
                <w:szCs w:val="24"/>
              </w:rPr>
            </w:pPr>
            <w:r>
              <w:rPr>
                <w:rFonts w:ascii="宋体" w:hAnsi="Times New Roman" w:eastAsia="宋体" w:cs="宋体"/>
                <w:b/>
                <w:snapToGrid/>
                <w:sz w:val="20"/>
                <w:szCs w:val="24"/>
              </w:rPr>
              <w:t>合计</w:t>
            </w: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1,506.42</w:t>
            </w: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rPr>
          <w:trHeight w:val="340" w:hRule="exact"/>
        </w:trPr>
        <w:tc>
          <w:tcPr>
            <w:tcW w:w="8809"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snapToGrid/>
                <w:sz w:val="20"/>
                <w:szCs w:val="24"/>
              </w:rPr>
              <w:t xml:space="preserve">注：“应付同级财政”主要包括预拨经费、向同级财政部门借入的款项。 </w:t>
            </w:r>
          </w:p>
        </w:tc>
      </w:tr>
    </w:tbl>
    <w:p>
      <w:pPr>
        <w:spacing w:before="94" w:line="360" w:lineRule="auto"/>
        <w:ind w:firstLine="588" w:firstLineChars="200"/>
        <w:rPr>
          <w:rFonts w:hint="eastAsia" w:ascii="仿宋" w:hAnsi="仿宋" w:eastAsia="仿宋" w:cs="仿宋"/>
          <w:spacing w:val="2"/>
          <w:kern w:val="0"/>
          <w:sz w:val="29"/>
          <w:szCs w:val="29"/>
          <w:lang w:val="en-US" w:eastAsia="zh-CN"/>
        </w:rPr>
      </w:pPr>
      <w:r>
        <w:rPr>
          <w:rFonts w:hint="eastAsia" w:ascii="仿宋" w:hAnsi="仿宋" w:eastAsia="仿宋" w:cs="仿宋"/>
          <w:spacing w:val="2"/>
          <w:kern w:val="0"/>
          <w:sz w:val="29"/>
          <w:szCs w:val="29"/>
          <w:lang w:val="en-US" w:eastAsia="zh-CN"/>
        </w:rPr>
        <w:t xml:space="preserve"> </w:t>
      </w:r>
    </w:p>
    <w:p>
      <w:pPr>
        <w:spacing w:before="94" w:line="360" w:lineRule="auto"/>
        <w:ind w:firstLine="588" w:firstLineChars="200"/>
        <w:rPr>
          <w:rFonts w:hint="eastAsia" w:ascii="仿宋" w:hAnsi="仿宋" w:eastAsia="仿宋" w:cs="仿宋"/>
          <w:spacing w:val="2"/>
          <w:kern w:val="0"/>
          <w:sz w:val="29"/>
          <w:szCs w:val="29"/>
          <w:lang w:val="en-US" w:eastAsia="zh-CN"/>
        </w:rPr>
      </w:pPr>
      <w:bookmarkStart w:id="42" w:name="ML_1_2_CQJKMXXXB18"/>
      <w:r>
        <w:rPr>
          <w:rFonts w:ascii="仿宋" w:hAnsi="仿宋" w:eastAsia="仿宋" w:cs="仿宋"/>
          <w:spacing w:val="2"/>
          <w:kern w:val="0"/>
          <w:sz w:val="29"/>
          <w:szCs w:val="29"/>
        </w:rPr>
        <w:t>(18) 长期借款明细信息（无）</w:t>
      </w:r>
      <w:bookmarkEnd w:id="42"/>
      <w:r>
        <w:rPr>
          <w:rFonts w:hint="eastAsia" w:ascii="仿宋" w:hAnsi="仿宋" w:eastAsia="仿宋" w:cs="仿宋"/>
          <w:spacing w:val="2"/>
          <w:kern w:val="0"/>
          <w:sz w:val="29"/>
          <w:szCs w:val="29"/>
          <w:lang w:val="en-US" w:eastAsia="zh-CN"/>
        </w:rPr>
        <w:t xml:space="preserve"> </w:t>
      </w:r>
    </w:p>
    <w:p>
      <w:pPr>
        <w:spacing w:before="94" w:line="360" w:lineRule="auto"/>
        <w:ind w:firstLine="588" w:firstLineChars="200"/>
        <w:rPr>
          <w:rFonts w:hint="eastAsia" w:ascii="仿宋" w:hAnsi="仿宋" w:eastAsia="仿宋" w:cs="仿宋"/>
          <w:spacing w:val="2"/>
          <w:kern w:val="0"/>
          <w:sz w:val="29"/>
          <w:szCs w:val="29"/>
          <w:lang w:val="en-US" w:eastAsia="zh-CN"/>
        </w:rPr>
      </w:pPr>
      <w:bookmarkStart w:id="43" w:name="ML_1_2_CQYFKMXXXB19"/>
      <w:r>
        <w:rPr>
          <w:rFonts w:ascii="仿宋" w:hAnsi="仿宋" w:eastAsia="仿宋" w:cs="仿宋"/>
          <w:spacing w:val="2"/>
          <w:kern w:val="0"/>
          <w:sz w:val="29"/>
          <w:szCs w:val="29"/>
        </w:rPr>
        <w:t>(19) 长期应付款明细信息（无）</w:t>
      </w:r>
      <w:bookmarkEnd w:id="43"/>
      <w:r>
        <w:rPr>
          <w:rFonts w:hint="eastAsia" w:ascii="仿宋" w:hAnsi="仿宋" w:eastAsia="仿宋" w:cs="仿宋"/>
          <w:spacing w:val="2"/>
          <w:kern w:val="0"/>
          <w:sz w:val="29"/>
          <w:szCs w:val="29"/>
          <w:lang w:val="en-US" w:eastAsia="zh-CN"/>
        </w:rPr>
        <w:t xml:space="preserve"> </w:t>
      </w:r>
    </w:p>
    <w:p>
      <w:pPr>
        <w:spacing w:before="94" w:line="360" w:lineRule="auto"/>
        <w:ind w:firstLine="588" w:firstLineChars="200"/>
        <w:rPr>
          <w:rFonts w:hint="eastAsia" w:ascii="仿宋" w:hAnsi="仿宋" w:eastAsia="仿宋" w:cs="仿宋"/>
          <w:spacing w:val="2"/>
          <w:kern w:val="0"/>
          <w:sz w:val="29"/>
          <w:szCs w:val="29"/>
          <w:lang w:val="en-US" w:eastAsia="zh-CN"/>
        </w:rPr>
      </w:pPr>
      <w:bookmarkStart w:id="44" w:name="ML_1_2_SYSRMXXXB20"/>
      <w:r>
        <w:rPr>
          <w:rFonts w:ascii="仿宋" w:hAnsi="仿宋" w:eastAsia="仿宋" w:cs="仿宋"/>
          <w:spacing w:val="2"/>
          <w:kern w:val="0"/>
          <w:sz w:val="29"/>
          <w:szCs w:val="29"/>
        </w:rPr>
        <w:t>(20) 事业收入明细信息（无）</w:t>
      </w:r>
      <w:bookmarkEnd w:id="44"/>
      <w:r>
        <w:rPr>
          <w:rFonts w:hint="eastAsia" w:ascii="仿宋" w:hAnsi="仿宋" w:eastAsia="仿宋" w:cs="仿宋"/>
          <w:spacing w:val="2"/>
          <w:kern w:val="0"/>
          <w:sz w:val="29"/>
          <w:szCs w:val="29"/>
          <w:lang w:val="en-US" w:eastAsia="zh-CN"/>
        </w:rPr>
        <w:t xml:space="preserve"> </w:t>
      </w:r>
    </w:p>
    <w:p>
      <w:pPr>
        <w:spacing w:before="94" w:line="360" w:lineRule="auto"/>
        <w:ind w:firstLine="588" w:firstLineChars="200"/>
        <w:rPr>
          <w:rFonts w:hint="eastAsia" w:ascii="仿宋" w:hAnsi="仿宋" w:eastAsia="仿宋" w:cs="仿宋"/>
          <w:spacing w:val="2"/>
          <w:kern w:val="0"/>
          <w:sz w:val="29"/>
          <w:szCs w:val="29"/>
          <w:lang w:val="en-US" w:eastAsia="zh-CN"/>
        </w:rPr>
      </w:pPr>
      <w:bookmarkStart w:id="45" w:name="ML_1_2_JYSRMXXXB21"/>
      <w:r>
        <w:rPr>
          <w:rFonts w:ascii="仿宋" w:hAnsi="仿宋" w:eastAsia="仿宋" w:cs="仿宋"/>
          <w:spacing w:val="2"/>
          <w:kern w:val="0"/>
          <w:sz w:val="29"/>
          <w:szCs w:val="29"/>
        </w:rPr>
        <w:t>(21) 经营收入明细信息（无）</w:t>
      </w:r>
      <w:bookmarkEnd w:id="45"/>
      <w:r>
        <w:rPr>
          <w:rFonts w:hint="eastAsia" w:ascii="仿宋" w:hAnsi="仿宋" w:eastAsia="仿宋" w:cs="仿宋"/>
          <w:spacing w:val="2"/>
          <w:kern w:val="0"/>
          <w:sz w:val="29"/>
          <w:szCs w:val="29"/>
          <w:lang w:val="en-US" w:eastAsia="zh-CN"/>
        </w:rPr>
        <w:t xml:space="preserve"> </w:t>
      </w:r>
    </w:p>
    <w:p>
      <w:pPr>
        <w:spacing w:before="94" w:line="360" w:lineRule="auto"/>
        <w:ind w:firstLine="588" w:firstLineChars="200"/>
        <w:rPr>
          <w:rFonts w:hint="eastAsia" w:ascii="仿宋" w:hAnsi="仿宋" w:eastAsia="仿宋" w:cs="仿宋"/>
          <w:spacing w:val="2"/>
          <w:kern w:val="0"/>
          <w:sz w:val="29"/>
          <w:szCs w:val="29"/>
          <w:lang w:val="en-US" w:eastAsia="zh-CN"/>
        </w:rPr>
      </w:pPr>
      <w:bookmarkStart w:id="46" w:name="ML_1_2_FTJCZBKSRMXXXB22"/>
      <w:r>
        <w:rPr>
          <w:rFonts w:ascii="仿宋" w:hAnsi="仿宋" w:eastAsia="仿宋" w:cs="仿宋"/>
          <w:spacing w:val="2"/>
          <w:kern w:val="0"/>
          <w:sz w:val="29"/>
          <w:szCs w:val="29"/>
        </w:rPr>
        <w:t>(22) 非同级财政拨款收入明细信息（无）</w:t>
      </w:r>
      <w:bookmarkEnd w:id="46"/>
      <w:r>
        <w:rPr>
          <w:rFonts w:hint="eastAsia" w:ascii="仿宋" w:hAnsi="仿宋" w:eastAsia="仿宋" w:cs="仿宋"/>
          <w:spacing w:val="2"/>
          <w:kern w:val="0"/>
          <w:sz w:val="29"/>
          <w:szCs w:val="29"/>
          <w:lang w:val="en-US" w:eastAsia="zh-CN"/>
        </w:rPr>
        <w:t xml:space="preserve"> </w:t>
      </w:r>
    </w:p>
    <w:p>
      <w:pPr>
        <w:spacing w:before="94" w:line="360" w:lineRule="auto"/>
        <w:ind w:firstLine="588" w:firstLineChars="200"/>
        <w:rPr>
          <w:rFonts w:hint="eastAsia" w:ascii="仿宋" w:hAnsi="仿宋" w:eastAsia="仿宋" w:cs="仿宋"/>
          <w:spacing w:val="2"/>
          <w:kern w:val="0"/>
          <w:sz w:val="29"/>
          <w:szCs w:val="29"/>
          <w:lang w:val="en-US" w:eastAsia="zh-CN"/>
        </w:rPr>
      </w:pPr>
      <w:bookmarkStart w:id="47" w:name="ML_1_2_ZJSRMXXXB23"/>
      <w:r>
        <w:rPr>
          <w:rFonts w:ascii="仿宋" w:hAnsi="仿宋" w:eastAsia="仿宋" w:cs="仿宋"/>
          <w:spacing w:val="2"/>
          <w:kern w:val="0"/>
          <w:sz w:val="29"/>
          <w:szCs w:val="29"/>
        </w:rPr>
        <w:t>(23) 租金收入明细信息（无）</w:t>
      </w:r>
      <w:bookmarkEnd w:id="47"/>
      <w:r>
        <w:rPr>
          <w:rFonts w:hint="eastAsia" w:ascii="仿宋" w:hAnsi="仿宋" w:eastAsia="仿宋" w:cs="仿宋"/>
          <w:spacing w:val="2"/>
          <w:kern w:val="0"/>
          <w:sz w:val="29"/>
          <w:szCs w:val="29"/>
          <w:lang w:val="en-US" w:eastAsia="zh-CN"/>
        </w:rPr>
        <w:t xml:space="preserve"> </w:t>
      </w:r>
    </w:p>
    <w:p>
      <w:pPr>
        <w:widowControl w:val="0"/>
        <w:kinsoku/>
        <w:snapToGrid/>
        <w:spacing w:line="0" w:lineRule="atLeast"/>
        <w:textAlignment w:val="auto"/>
        <w:rPr>
          <w:rFonts w:ascii="Times New Roman" w:hAnsi="Times New Roman" w:eastAsia="Times New Roman" w:cs="Times New Roman"/>
          <w:snapToGrid/>
          <w:color w:val="auto"/>
          <w:sz w:val="2"/>
          <w:szCs w:val="24"/>
        </w:rPr>
      </w:pPr>
      <w:bookmarkStart w:id="48" w:name="ML_1_2_QTSRMXXXB24"/>
      <w:bookmarkEnd w:id="48"/>
    </w:p>
    <w:tbl>
      <w:tblPr>
        <w:tblStyle w:val="8"/>
        <w:tblW w:w="8919" w:type="dxa"/>
        <w:tblInd w:w="5" w:type="dxa"/>
        <w:tblLayout w:type="fixed"/>
        <w:tblCellMar>
          <w:top w:w="0" w:type="dxa"/>
          <w:left w:w="0" w:type="dxa"/>
          <w:bottom w:w="0" w:type="dxa"/>
          <w:right w:w="0" w:type="dxa"/>
        </w:tblCellMar>
      </w:tblPr>
      <w:tblGrid>
        <w:gridCol w:w="5629"/>
        <w:gridCol w:w="3289"/>
      </w:tblGrid>
      <w:tr>
        <w:trPr>
          <w:trHeight w:val="566" w:hRule="exact"/>
        </w:trPr>
        <w:tc>
          <w:tcPr>
            <w:tcW w:w="8918" w:type="dxa"/>
            <w:gridSpan w:val="2"/>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330" w:lineRule="exact"/>
              <w:ind w:left="20"/>
              <w:textAlignment w:val="auto"/>
              <w:rPr>
                <w:rFonts w:ascii="仿宋" w:hAnsi="Times New Roman" w:eastAsia="仿宋" w:cs="仿宋"/>
                <w:snapToGrid/>
                <w:sz w:val="28"/>
                <w:szCs w:val="24"/>
              </w:rPr>
            </w:pPr>
            <w:r>
              <w:rPr>
                <w:rFonts w:ascii="仿宋" w:hAnsi="Times New Roman" w:eastAsia="仿宋" w:cs="仿宋"/>
                <w:snapToGrid/>
                <w:sz w:val="28"/>
                <w:szCs w:val="24"/>
              </w:rPr>
              <w:t xml:space="preserve">    (24) 其他收入明细信息如下:</w:t>
            </w:r>
          </w:p>
        </w:tc>
      </w:tr>
      <w:tr>
        <w:tblPrEx>
          <w:tblCellMar>
            <w:top w:w="0" w:type="dxa"/>
            <w:left w:w="0" w:type="dxa"/>
            <w:bottom w:w="0" w:type="dxa"/>
            <w:right w:w="0" w:type="dxa"/>
          </w:tblCellMar>
        </w:tblPrEx>
        <w:trPr>
          <w:trHeight w:val="396" w:hRule="exact"/>
        </w:trPr>
        <w:tc>
          <w:tcPr>
            <w:tcW w:w="8918" w:type="dxa"/>
            <w:gridSpan w:val="2"/>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snapToGrid/>
                <w:sz w:val="20"/>
                <w:szCs w:val="24"/>
              </w:rPr>
              <w:t>附表24</w:t>
            </w:r>
          </w:p>
        </w:tc>
      </w:tr>
      <w:tr>
        <w:tblPrEx>
          <w:tblCellMar>
            <w:top w:w="0" w:type="dxa"/>
            <w:left w:w="0" w:type="dxa"/>
            <w:bottom w:w="0" w:type="dxa"/>
            <w:right w:w="0" w:type="dxa"/>
          </w:tblCellMar>
        </w:tblPrEx>
        <w:trPr>
          <w:trHeight w:val="396" w:hRule="exact"/>
        </w:trPr>
        <w:tc>
          <w:tcPr>
            <w:tcW w:w="8918" w:type="dxa"/>
            <w:gridSpan w:val="2"/>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其他收入明细表</w:t>
            </w:r>
          </w:p>
        </w:tc>
      </w:tr>
      <w:tr>
        <w:tblPrEx>
          <w:tblCellMar>
            <w:top w:w="0" w:type="dxa"/>
            <w:left w:w="0" w:type="dxa"/>
            <w:bottom w:w="0" w:type="dxa"/>
            <w:right w:w="0" w:type="dxa"/>
          </w:tblCellMar>
        </w:tblPrEx>
        <w:trPr>
          <w:trHeight w:val="340" w:hRule="exact"/>
        </w:trPr>
        <w:tc>
          <w:tcPr>
            <w:tcW w:w="8918" w:type="dxa"/>
            <w:gridSpan w:val="2"/>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2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单位：万元</w:t>
            </w:r>
          </w:p>
        </w:tc>
      </w:tr>
      <w:tr>
        <w:tblPrEx>
          <w:tblCellMar>
            <w:top w:w="0" w:type="dxa"/>
            <w:left w:w="0" w:type="dxa"/>
            <w:bottom w:w="0" w:type="dxa"/>
            <w:right w:w="0" w:type="dxa"/>
          </w:tblCellMar>
        </w:tblPrEx>
        <w:trPr>
          <w:trHeight w:val="396" w:hRule="exact"/>
        </w:trPr>
        <w:tc>
          <w:tcPr>
            <w:tcW w:w="562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收入来源</w:t>
            </w:r>
          </w:p>
        </w:tc>
        <w:tc>
          <w:tcPr>
            <w:tcW w:w="328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本年数</w:t>
            </w:r>
          </w:p>
        </w:tc>
      </w:tr>
      <w:tr>
        <w:tblPrEx>
          <w:tblCellMar>
            <w:top w:w="0" w:type="dxa"/>
            <w:left w:w="0" w:type="dxa"/>
            <w:bottom w:w="0" w:type="dxa"/>
            <w:right w:w="0" w:type="dxa"/>
          </w:tblCellMar>
        </w:tblPrEx>
        <w:trPr>
          <w:trHeight w:val="385" w:hRule="exact"/>
        </w:trPr>
        <w:tc>
          <w:tcPr>
            <w:tcW w:w="56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来自本部门内部单位</w:t>
            </w:r>
          </w:p>
        </w:tc>
        <w:tc>
          <w:tcPr>
            <w:tcW w:w="328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56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来自本部门以外的同级政府单位</w:t>
            </w:r>
          </w:p>
        </w:tc>
        <w:tc>
          <w:tcPr>
            <w:tcW w:w="328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56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来自本部门以外的非同级政府单位</w:t>
            </w:r>
          </w:p>
        </w:tc>
        <w:tc>
          <w:tcPr>
            <w:tcW w:w="328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385" w:hRule="exact"/>
        </w:trPr>
        <w:tc>
          <w:tcPr>
            <w:tcW w:w="56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来自其他单位</w:t>
            </w:r>
          </w:p>
        </w:tc>
        <w:tc>
          <w:tcPr>
            <w:tcW w:w="328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385" w:hRule="exact"/>
        </w:trPr>
        <w:tc>
          <w:tcPr>
            <w:tcW w:w="562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1480"/>
              <w:textAlignment w:val="auto"/>
              <w:rPr>
                <w:rFonts w:ascii="宋体" w:hAnsi="Times New Roman" w:eastAsia="宋体" w:cs="宋体"/>
                <w:snapToGrid/>
                <w:sz w:val="20"/>
                <w:szCs w:val="24"/>
              </w:rPr>
            </w:pPr>
            <w:r>
              <w:rPr>
                <w:rFonts w:ascii="宋体" w:hAnsi="Times New Roman" w:eastAsia="宋体" w:cs="宋体"/>
                <w:b/>
                <w:snapToGrid/>
                <w:sz w:val="20"/>
                <w:szCs w:val="24"/>
              </w:rPr>
              <w:t>合计</w:t>
            </w:r>
          </w:p>
        </w:tc>
        <w:tc>
          <w:tcPr>
            <w:tcW w:w="328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285" w:hRule="exact"/>
        </w:trPr>
        <w:tc>
          <w:tcPr>
            <w:tcW w:w="56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328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bl>
    <w:p>
      <w:pPr>
        <w:spacing w:before="94" w:line="360" w:lineRule="auto"/>
        <w:ind w:firstLine="588" w:firstLineChars="200"/>
        <w:rPr>
          <w:rFonts w:hint="eastAsia" w:ascii="仿宋" w:hAnsi="仿宋" w:eastAsia="仿宋" w:cs="仿宋"/>
          <w:spacing w:val="2"/>
          <w:kern w:val="0"/>
          <w:sz w:val="29"/>
          <w:szCs w:val="29"/>
          <w:lang w:val="en-US" w:eastAsia="zh-CN"/>
        </w:rPr>
      </w:pPr>
      <w:r>
        <w:rPr>
          <w:rFonts w:hint="eastAsia" w:ascii="仿宋" w:hAnsi="仿宋" w:eastAsia="仿宋" w:cs="仿宋"/>
          <w:spacing w:val="2"/>
          <w:kern w:val="0"/>
          <w:sz w:val="29"/>
          <w:szCs w:val="29"/>
          <w:lang w:val="en-US" w:eastAsia="zh-CN"/>
        </w:rPr>
        <w:t xml:space="preserve"> </w:t>
      </w:r>
    </w:p>
    <w:p>
      <w:pPr>
        <w:widowControl w:val="0"/>
        <w:kinsoku/>
        <w:snapToGrid/>
        <w:spacing w:line="0" w:lineRule="atLeast"/>
        <w:textAlignment w:val="auto"/>
        <w:rPr>
          <w:rFonts w:ascii="Times New Roman" w:hAnsi="Times New Roman" w:eastAsia="Times New Roman" w:cs="Times New Roman"/>
          <w:snapToGrid/>
          <w:color w:val="auto"/>
          <w:sz w:val="2"/>
          <w:szCs w:val="24"/>
        </w:rPr>
      </w:pPr>
      <w:bookmarkStart w:id="49" w:name="ML_1_2_YWHDFYMXXXB25"/>
      <w:bookmarkEnd w:id="49"/>
    </w:p>
    <w:tbl>
      <w:tblPr>
        <w:tblStyle w:val="8"/>
        <w:tblW w:w="8813" w:type="dxa"/>
        <w:tblInd w:w="5" w:type="dxa"/>
        <w:tblLayout w:type="fixed"/>
        <w:tblCellMar>
          <w:top w:w="0" w:type="dxa"/>
          <w:left w:w="0" w:type="dxa"/>
          <w:bottom w:w="0" w:type="dxa"/>
          <w:right w:w="0" w:type="dxa"/>
        </w:tblCellMar>
      </w:tblPr>
      <w:tblGrid>
        <w:gridCol w:w="3529"/>
        <w:gridCol w:w="1320"/>
        <w:gridCol w:w="1320"/>
        <w:gridCol w:w="1320"/>
        <w:gridCol w:w="1320"/>
      </w:tblGrid>
      <w:tr>
        <w:trPr>
          <w:trHeight w:val="566" w:hRule="exact"/>
        </w:trPr>
        <w:tc>
          <w:tcPr>
            <w:tcW w:w="8809"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330" w:lineRule="exact"/>
              <w:ind w:left="20"/>
              <w:textAlignment w:val="auto"/>
              <w:rPr>
                <w:rFonts w:ascii="仿宋" w:hAnsi="Times New Roman" w:eastAsia="仿宋" w:cs="仿宋"/>
                <w:snapToGrid/>
                <w:sz w:val="28"/>
                <w:szCs w:val="24"/>
              </w:rPr>
            </w:pPr>
            <w:r>
              <w:rPr>
                <w:rFonts w:ascii="仿宋" w:hAnsi="Times New Roman" w:eastAsia="仿宋" w:cs="仿宋"/>
                <w:snapToGrid/>
                <w:sz w:val="28"/>
                <w:szCs w:val="24"/>
              </w:rPr>
              <w:t xml:space="preserve">    (25)业务活动费用明细信息如下:</w:t>
            </w:r>
          </w:p>
        </w:tc>
      </w:tr>
      <w:tr>
        <w:tblPrEx>
          <w:tblCellMar>
            <w:top w:w="0" w:type="dxa"/>
            <w:left w:w="0" w:type="dxa"/>
            <w:bottom w:w="0" w:type="dxa"/>
            <w:right w:w="0" w:type="dxa"/>
          </w:tblCellMar>
        </w:tblPrEx>
        <w:trPr>
          <w:trHeight w:val="396" w:hRule="exact"/>
        </w:trPr>
        <w:tc>
          <w:tcPr>
            <w:tcW w:w="8809"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snapToGrid/>
                <w:sz w:val="20"/>
                <w:szCs w:val="24"/>
              </w:rPr>
              <w:t>附表25</w:t>
            </w:r>
          </w:p>
        </w:tc>
      </w:tr>
      <w:tr>
        <w:tblPrEx>
          <w:tblCellMar>
            <w:top w:w="0" w:type="dxa"/>
            <w:left w:w="0" w:type="dxa"/>
            <w:bottom w:w="0" w:type="dxa"/>
            <w:right w:w="0" w:type="dxa"/>
          </w:tblCellMar>
        </w:tblPrEx>
        <w:trPr>
          <w:trHeight w:val="396" w:hRule="exact"/>
        </w:trPr>
        <w:tc>
          <w:tcPr>
            <w:tcW w:w="8809"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业务活动费用明细表</w:t>
            </w:r>
          </w:p>
        </w:tc>
      </w:tr>
      <w:tr>
        <w:tblPrEx>
          <w:tblCellMar>
            <w:top w:w="0" w:type="dxa"/>
            <w:left w:w="0" w:type="dxa"/>
            <w:bottom w:w="0" w:type="dxa"/>
            <w:right w:w="0" w:type="dxa"/>
          </w:tblCellMar>
        </w:tblPrEx>
        <w:trPr>
          <w:trHeight w:val="340" w:hRule="exact"/>
        </w:trPr>
        <w:tc>
          <w:tcPr>
            <w:tcW w:w="8809"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2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单位：万元</w:t>
            </w:r>
          </w:p>
        </w:tc>
      </w:tr>
      <w:tr>
        <w:trPr>
          <w:trHeight w:val="396" w:hRule="exact"/>
        </w:trPr>
        <w:tc>
          <w:tcPr>
            <w:tcW w:w="352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项目</w:t>
            </w: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本年数</w:t>
            </w: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上年数</w:t>
            </w:r>
          </w:p>
        </w:tc>
      </w:tr>
      <w:tr>
        <w:tblPrEx>
          <w:tblCellMar>
            <w:top w:w="0" w:type="dxa"/>
            <w:left w:w="0" w:type="dxa"/>
            <w:bottom w:w="0" w:type="dxa"/>
            <w:right w:w="0" w:type="dxa"/>
          </w:tblCellMar>
        </w:tblPrEx>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工资和福利费用</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1,755.46</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商品和服务费用</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2,898.55</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对个人和家庭的补助费用</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26.50</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对企业补助费用</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固定资产折旧费用</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41.54</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无形资产摊销费用</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公共基础设施折旧（摊销）费用</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保障性住房折旧费用</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计提专用基金</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其他业务活动费用</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3.79</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385" w:hRule="exact"/>
        </w:trPr>
        <w:tc>
          <w:tcPr>
            <w:tcW w:w="352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580"/>
              <w:textAlignment w:val="auto"/>
              <w:rPr>
                <w:rFonts w:ascii="宋体" w:hAnsi="Times New Roman" w:eastAsia="宋体" w:cs="宋体"/>
                <w:snapToGrid/>
                <w:sz w:val="20"/>
                <w:szCs w:val="24"/>
              </w:rPr>
            </w:pPr>
            <w:r>
              <w:rPr>
                <w:rFonts w:ascii="宋体" w:hAnsi="Times New Roman" w:eastAsia="宋体" w:cs="宋体"/>
                <w:b/>
                <w:snapToGrid/>
                <w:sz w:val="20"/>
                <w:szCs w:val="24"/>
              </w:rPr>
              <w:t>合计</w:t>
            </w: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4,725.84</w:t>
            </w: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bl>
    <w:p>
      <w:pPr>
        <w:spacing w:before="94" w:line="360" w:lineRule="auto"/>
        <w:ind w:firstLine="588" w:firstLineChars="200"/>
        <w:rPr>
          <w:rFonts w:hint="eastAsia" w:ascii="仿宋" w:hAnsi="仿宋" w:eastAsia="仿宋" w:cs="仿宋"/>
          <w:spacing w:val="2"/>
          <w:kern w:val="0"/>
          <w:sz w:val="29"/>
          <w:szCs w:val="29"/>
          <w:lang w:val="en-US" w:eastAsia="zh-CN"/>
        </w:rPr>
      </w:pPr>
      <w:r>
        <w:rPr>
          <w:rFonts w:hint="eastAsia" w:ascii="仿宋" w:hAnsi="仿宋" w:eastAsia="仿宋" w:cs="仿宋"/>
          <w:spacing w:val="2"/>
          <w:kern w:val="0"/>
          <w:sz w:val="29"/>
          <w:szCs w:val="29"/>
          <w:lang w:val="en-US" w:eastAsia="zh-CN"/>
        </w:rPr>
        <w:t xml:space="preserve"> </w:t>
      </w:r>
    </w:p>
    <w:p>
      <w:pPr>
        <w:spacing w:before="94" w:line="360" w:lineRule="auto"/>
        <w:ind w:firstLine="588" w:firstLineChars="200"/>
        <w:rPr>
          <w:rFonts w:hint="eastAsia" w:ascii="仿宋" w:hAnsi="仿宋" w:eastAsia="仿宋" w:cs="仿宋"/>
          <w:spacing w:val="2"/>
          <w:kern w:val="0"/>
          <w:sz w:val="29"/>
          <w:szCs w:val="29"/>
          <w:lang w:val="en-US" w:eastAsia="zh-CN"/>
        </w:rPr>
      </w:pPr>
      <w:bookmarkStart w:id="50" w:name="ML_1_2_DWGLFYMXXXB26"/>
      <w:r>
        <w:rPr>
          <w:rFonts w:ascii="仿宋" w:hAnsi="仿宋" w:eastAsia="仿宋" w:cs="仿宋"/>
          <w:spacing w:val="2"/>
          <w:kern w:val="0"/>
          <w:sz w:val="29"/>
          <w:szCs w:val="29"/>
        </w:rPr>
        <w:t>(26) 单位管理费用明细信息（无）</w:t>
      </w:r>
      <w:bookmarkEnd w:id="50"/>
      <w:r>
        <w:rPr>
          <w:rFonts w:hint="eastAsia" w:ascii="仿宋" w:hAnsi="仿宋" w:eastAsia="仿宋" w:cs="仿宋"/>
          <w:spacing w:val="2"/>
          <w:kern w:val="0"/>
          <w:sz w:val="29"/>
          <w:szCs w:val="29"/>
          <w:lang w:val="en-US" w:eastAsia="zh-CN"/>
        </w:rPr>
        <w:t xml:space="preserve"> </w:t>
      </w:r>
    </w:p>
    <w:p>
      <w:pPr>
        <w:spacing w:before="94" w:line="360" w:lineRule="auto"/>
        <w:ind w:firstLine="588" w:firstLineChars="200"/>
        <w:rPr>
          <w:rFonts w:hint="eastAsia" w:ascii="仿宋" w:hAnsi="仿宋" w:eastAsia="仿宋" w:cs="仿宋"/>
          <w:spacing w:val="2"/>
          <w:kern w:val="0"/>
          <w:sz w:val="29"/>
          <w:szCs w:val="29"/>
          <w:lang w:val="en-US" w:eastAsia="zh-CN"/>
        </w:rPr>
      </w:pPr>
      <w:bookmarkStart w:id="51" w:name="ML_1_2_JYFYMXXXB27"/>
      <w:r>
        <w:rPr>
          <w:rFonts w:ascii="仿宋" w:hAnsi="仿宋" w:eastAsia="仿宋" w:cs="仿宋"/>
          <w:spacing w:val="2"/>
          <w:kern w:val="0"/>
          <w:sz w:val="29"/>
          <w:szCs w:val="29"/>
        </w:rPr>
        <w:t>(27) 经营费用明细信息（无）</w:t>
      </w:r>
      <w:bookmarkEnd w:id="51"/>
      <w:r>
        <w:rPr>
          <w:rFonts w:hint="eastAsia" w:ascii="仿宋" w:hAnsi="仿宋" w:eastAsia="仿宋" w:cs="仿宋"/>
          <w:spacing w:val="2"/>
          <w:kern w:val="0"/>
          <w:sz w:val="29"/>
          <w:szCs w:val="29"/>
          <w:lang w:val="en-US" w:eastAsia="zh-CN"/>
        </w:rPr>
        <w:t xml:space="preserve"> </w:t>
      </w:r>
    </w:p>
    <w:p>
      <w:pPr>
        <w:widowControl w:val="0"/>
        <w:kinsoku/>
        <w:snapToGrid/>
        <w:spacing w:line="0" w:lineRule="atLeast"/>
        <w:textAlignment w:val="auto"/>
        <w:rPr>
          <w:rFonts w:ascii="Times New Roman" w:hAnsi="Times New Roman" w:eastAsia="Times New Roman" w:cs="Times New Roman"/>
          <w:snapToGrid/>
          <w:color w:val="auto"/>
          <w:sz w:val="2"/>
          <w:szCs w:val="24"/>
        </w:rPr>
      </w:pPr>
      <w:bookmarkStart w:id="52" w:name="ML_1_2_SPHFWFYMXXXB28"/>
      <w:bookmarkEnd w:id="52"/>
    </w:p>
    <w:tbl>
      <w:tblPr>
        <w:tblStyle w:val="8"/>
        <w:tblW w:w="8813" w:type="dxa"/>
        <w:tblInd w:w="5" w:type="dxa"/>
        <w:tblLayout w:type="fixed"/>
        <w:tblCellMar>
          <w:top w:w="0" w:type="dxa"/>
          <w:left w:w="0" w:type="dxa"/>
          <w:bottom w:w="0" w:type="dxa"/>
          <w:right w:w="0" w:type="dxa"/>
        </w:tblCellMar>
      </w:tblPr>
      <w:tblGrid>
        <w:gridCol w:w="3529"/>
        <w:gridCol w:w="1320"/>
        <w:gridCol w:w="1320"/>
        <w:gridCol w:w="1320"/>
        <w:gridCol w:w="1320"/>
      </w:tblGrid>
      <w:tr>
        <w:trPr>
          <w:trHeight w:val="566" w:hRule="exact"/>
        </w:trPr>
        <w:tc>
          <w:tcPr>
            <w:tcW w:w="8809"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330" w:lineRule="exact"/>
              <w:ind w:left="20"/>
              <w:textAlignment w:val="auto"/>
              <w:rPr>
                <w:rFonts w:ascii="仿宋" w:hAnsi="Times New Roman" w:eastAsia="仿宋" w:cs="仿宋"/>
                <w:snapToGrid/>
                <w:sz w:val="28"/>
                <w:szCs w:val="24"/>
              </w:rPr>
            </w:pPr>
            <w:r>
              <w:rPr>
                <w:rFonts w:ascii="仿宋" w:hAnsi="Times New Roman" w:eastAsia="仿宋" w:cs="仿宋"/>
                <w:snapToGrid/>
                <w:sz w:val="28"/>
                <w:szCs w:val="24"/>
              </w:rPr>
              <w:t xml:space="preserve">    (28) 商品和服务费用明细信息如下：</w:t>
            </w:r>
          </w:p>
        </w:tc>
      </w:tr>
      <w:tr>
        <w:tblPrEx>
          <w:tblCellMar>
            <w:top w:w="0" w:type="dxa"/>
            <w:left w:w="0" w:type="dxa"/>
            <w:bottom w:w="0" w:type="dxa"/>
            <w:right w:w="0" w:type="dxa"/>
          </w:tblCellMar>
        </w:tblPrEx>
        <w:trPr>
          <w:trHeight w:val="396" w:hRule="exact"/>
        </w:trPr>
        <w:tc>
          <w:tcPr>
            <w:tcW w:w="8809"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snapToGrid/>
                <w:sz w:val="20"/>
                <w:szCs w:val="24"/>
              </w:rPr>
              <w:t>附表28</w:t>
            </w:r>
          </w:p>
        </w:tc>
      </w:tr>
      <w:tr>
        <w:tblPrEx>
          <w:tblCellMar>
            <w:top w:w="0" w:type="dxa"/>
            <w:left w:w="0" w:type="dxa"/>
            <w:bottom w:w="0" w:type="dxa"/>
            <w:right w:w="0" w:type="dxa"/>
          </w:tblCellMar>
        </w:tblPrEx>
        <w:trPr>
          <w:trHeight w:val="396" w:hRule="exact"/>
        </w:trPr>
        <w:tc>
          <w:tcPr>
            <w:tcW w:w="8809"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商品和服务费用明细表</w:t>
            </w:r>
          </w:p>
        </w:tc>
      </w:tr>
      <w:tr>
        <w:tblPrEx>
          <w:tblCellMar>
            <w:top w:w="0" w:type="dxa"/>
            <w:left w:w="0" w:type="dxa"/>
            <w:bottom w:w="0" w:type="dxa"/>
            <w:right w:w="0" w:type="dxa"/>
          </w:tblCellMar>
        </w:tblPrEx>
        <w:trPr>
          <w:trHeight w:val="340" w:hRule="exact"/>
        </w:trPr>
        <w:tc>
          <w:tcPr>
            <w:tcW w:w="8809" w:type="dxa"/>
            <w:gridSpan w:val="5"/>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2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单位：万元</w:t>
            </w:r>
          </w:p>
        </w:tc>
      </w:tr>
      <w:tr>
        <w:trPr>
          <w:trHeight w:val="396" w:hRule="exact"/>
        </w:trPr>
        <w:tc>
          <w:tcPr>
            <w:tcW w:w="3529" w:type="dxa"/>
            <w:vMerge w:val="restart"/>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项目</w:t>
            </w:r>
          </w:p>
        </w:tc>
        <w:tc>
          <w:tcPr>
            <w:tcW w:w="5280" w:type="dxa"/>
            <w:gridSpan w:val="4"/>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本年数</w:t>
            </w:r>
          </w:p>
        </w:tc>
      </w:tr>
      <w:tr>
        <w:tblPrEx>
          <w:tblCellMar>
            <w:top w:w="0" w:type="dxa"/>
            <w:left w:w="0" w:type="dxa"/>
            <w:bottom w:w="0" w:type="dxa"/>
            <w:right w:w="0" w:type="dxa"/>
          </w:tblCellMar>
        </w:tblPrEx>
        <w:trPr>
          <w:trHeight w:val="396" w:hRule="exact"/>
        </w:trPr>
        <w:tc>
          <w:tcPr>
            <w:tcW w:w="3529" w:type="dxa"/>
            <w:vMerge w:val="continue"/>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textAlignment w:val="auto"/>
              <w:rPr>
                <w:rFonts w:ascii="宋体" w:hAnsi="Times New Roman" w:eastAsia="宋体" w:cs="宋体"/>
                <w:snapToGrid/>
                <w:sz w:val="20"/>
                <w:szCs w:val="24"/>
              </w:rPr>
            </w:pPr>
          </w:p>
        </w:tc>
        <w:tc>
          <w:tcPr>
            <w:tcW w:w="1320" w:type="dxa"/>
            <w:tcBorders>
              <w:top w:val="single" w:color="FFFFFF" w:sz="4"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合计</w:t>
            </w:r>
          </w:p>
        </w:tc>
        <w:tc>
          <w:tcPr>
            <w:tcW w:w="1320" w:type="dxa"/>
            <w:tcBorders>
              <w:top w:val="single" w:color="FFFFFF" w:sz="4"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业务活动费用</w:t>
            </w:r>
          </w:p>
        </w:tc>
        <w:tc>
          <w:tcPr>
            <w:tcW w:w="1320" w:type="dxa"/>
            <w:tcBorders>
              <w:top w:val="single" w:color="FFFFFF" w:sz="4"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单位管理费用</w:t>
            </w:r>
          </w:p>
        </w:tc>
        <w:tc>
          <w:tcPr>
            <w:tcW w:w="1320" w:type="dxa"/>
            <w:tcBorders>
              <w:top w:val="single" w:color="FFFFFF" w:sz="4"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经营费用</w:t>
            </w:r>
          </w:p>
        </w:tc>
      </w:tr>
      <w:tr>
        <w:tblPrEx>
          <w:tblCellMar>
            <w:top w:w="0" w:type="dxa"/>
            <w:left w:w="0" w:type="dxa"/>
            <w:bottom w:w="0" w:type="dxa"/>
            <w:right w:w="0" w:type="dxa"/>
          </w:tblCellMar>
        </w:tblPrEx>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支付给本部门内部单位</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支付给本部门以外的同级政府单位</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支付给本部门以外的非同级政府单位</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385" w:hRule="exact"/>
        </w:trPr>
        <w:tc>
          <w:tcPr>
            <w:tcW w:w="352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支付给其他单位</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2,898.55</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2,898.55</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385" w:hRule="exact"/>
        </w:trPr>
        <w:tc>
          <w:tcPr>
            <w:tcW w:w="352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960"/>
              <w:textAlignment w:val="auto"/>
              <w:rPr>
                <w:rFonts w:ascii="宋体" w:hAnsi="Times New Roman" w:eastAsia="宋体" w:cs="宋体"/>
                <w:snapToGrid/>
                <w:sz w:val="20"/>
                <w:szCs w:val="24"/>
              </w:rPr>
            </w:pPr>
            <w:r>
              <w:rPr>
                <w:rFonts w:ascii="宋体" w:hAnsi="Times New Roman" w:eastAsia="宋体" w:cs="宋体"/>
                <w:b/>
                <w:snapToGrid/>
                <w:sz w:val="20"/>
                <w:szCs w:val="24"/>
              </w:rPr>
              <w:t>合计</w:t>
            </w: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2,898.55</w:t>
            </w: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2,898.55</w:t>
            </w: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bl>
    <w:p>
      <w:pPr>
        <w:spacing w:before="94" w:line="360" w:lineRule="auto"/>
        <w:ind w:firstLine="588" w:firstLineChars="200"/>
        <w:rPr>
          <w:rFonts w:hint="eastAsia" w:ascii="仿宋" w:hAnsi="仿宋" w:eastAsia="仿宋" w:cs="仿宋"/>
          <w:spacing w:val="2"/>
          <w:kern w:val="0"/>
          <w:sz w:val="29"/>
          <w:szCs w:val="29"/>
          <w:lang w:val="en-US" w:eastAsia="zh-CN"/>
        </w:rPr>
      </w:pPr>
      <w:r>
        <w:rPr>
          <w:rFonts w:hint="eastAsia" w:ascii="仿宋" w:hAnsi="仿宋" w:eastAsia="仿宋" w:cs="仿宋"/>
          <w:spacing w:val="2"/>
          <w:kern w:val="0"/>
          <w:sz w:val="29"/>
          <w:szCs w:val="29"/>
          <w:lang w:val="en-US" w:eastAsia="zh-CN"/>
        </w:rPr>
        <w:t xml:space="preserve"> </w:t>
      </w:r>
    </w:p>
    <w:p>
      <w:pPr>
        <w:widowControl w:val="0"/>
        <w:kinsoku/>
        <w:snapToGrid/>
        <w:spacing w:line="0" w:lineRule="atLeast"/>
        <w:textAlignment w:val="auto"/>
        <w:rPr>
          <w:rFonts w:ascii="Times New Roman" w:hAnsi="Times New Roman" w:eastAsia="Times New Roman" w:cs="Times New Roman"/>
          <w:snapToGrid/>
          <w:color w:val="auto"/>
          <w:sz w:val="2"/>
          <w:szCs w:val="24"/>
        </w:rPr>
      </w:pPr>
      <w:bookmarkStart w:id="53" w:name="ML_1_2_QTFYMXXXB29"/>
      <w:bookmarkEnd w:id="53"/>
      <w:bookmarkStart w:id="54" w:name="_Toc30369"/>
    </w:p>
    <w:tbl>
      <w:tblPr>
        <w:tblStyle w:val="8"/>
        <w:tblW w:w="9744" w:type="dxa"/>
        <w:tblInd w:w="5" w:type="dxa"/>
        <w:tblLayout w:type="fixed"/>
        <w:tblCellMar>
          <w:top w:w="0" w:type="dxa"/>
          <w:left w:w="0" w:type="dxa"/>
          <w:bottom w:w="0" w:type="dxa"/>
          <w:right w:w="0" w:type="dxa"/>
        </w:tblCellMar>
      </w:tblPr>
      <w:tblGrid>
        <w:gridCol w:w="3139"/>
        <w:gridCol w:w="1320"/>
        <w:gridCol w:w="1320"/>
        <w:gridCol w:w="1320"/>
        <w:gridCol w:w="1320"/>
        <w:gridCol w:w="1320"/>
      </w:tblGrid>
      <w:tr>
        <w:trPr>
          <w:trHeight w:val="566" w:hRule="exact"/>
        </w:trPr>
        <w:tc>
          <w:tcPr>
            <w:tcW w:w="9739" w:type="dxa"/>
            <w:gridSpan w:val="6"/>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330" w:lineRule="exact"/>
              <w:ind w:left="20"/>
              <w:textAlignment w:val="auto"/>
              <w:rPr>
                <w:rFonts w:ascii="仿宋" w:hAnsi="Times New Roman" w:eastAsia="仿宋" w:cs="仿宋"/>
                <w:snapToGrid/>
                <w:sz w:val="28"/>
                <w:szCs w:val="24"/>
              </w:rPr>
            </w:pPr>
            <w:r>
              <w:rPr>
                <w:rFonts w:ascii="仿宋" w:hAnsi="Times New Roman" w:eastAsia="仿宋" w:cs="仿宋"/>
                <w:snapToGrid/>
                <w:sz w:val="28"/>
                <w:szCs w:val="24"/>
              </w:rPr>
              <w:t xml:space="preserve">    (29) 其他费用明细信息如下:</w:t>
            </w:r>
          </w:p>
        </w:tc>
      </w:tr>
      <w:tr>
        <w:tblPrEx>
          <w:tblCellMar>
            <w:top w:w="0" w:type="dxa"/>
            <w:left w:w="0" w:type="dxa"/>
            <w:bottom w:w="0" w:type="dxa"/>
            <w:right w:w="0" w:type="dxa"/>
          </w:tblCellMar>
        </w:tblPrEx>
        <w:trPr>
          <w:trHeight w:val="396" w:hRule="exact"/>
        </w:trPr>
        <w:tc>
          <w:tcPr>
            <w:tcW w:w="9739" w:type="dxa"/>
            <w:gridSpan w:val="6"/>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textAlignment w:val="auto"/>
              <w:rPr>
                <w:rFonts w:ascii="宋体" w:hAnsi="Times New Roman" w:eastAsia="宋体" w:cs="宋体"/>
                <w:snapToGrid/>
                <w:sz w:val="20"/>
                <w:szCs w:val="24"/>
              </w:rPr>
            </w:pPr>
            <w:r>
              <w:rPr>
                <w:rFonts w:ascii="宋体" w:hAnsi="Times New Roman" w:eastAsia="宋体" w:cs="宋体"/>
                <w:snapToGrid/>
                <w:sz w:val="20"/>
                <w:szCs w:val="24"/>
              </w:rPr>
              <w:t>附表29</w:t>
            </w:r>
          </w:p>
        </w:tc>
      </w:tr>
      <w:tr>
        <w:tblPrEx>
          <w:tblCellMar>
            <w:top w:w="0" w:type="dxa"/>
            <w:left w:w="0" w:type="dxa"/>
            <w:bottom w:w="0" w:type="dxa"/>
            <w:right w:w="0" w:type="dxa"/>
          </w:tblCellMar>
        </w:tblPrEx>
        <w:trPr>
          <w:trHeight w:val="396" w:hRule="exact"/>
        </w:trPr>
        <w:tc>
          <w:tcPr>
            <w:tcW w:w="9739" w:type="dxa"/>
            <w:gridSpan w:val="6"/>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其他费用明细表</w:t>
            </w:r>
          </w:p>
        </w:tc>
      </w:tr>
      <w:tr>
        <w:tblPrEx>
          <w:tblCellMar>
            <w:top w:w="0" w:type="dxa"/>
            <w:left w:w="0" w:type="dxa"/>
            <w:bottom w:w="0" w:type="dxa"/>
            <w:right w:w="0" w:type="dxa"/>
          </w:tblCellMar>
        </w:tblPrEx>
        <w:trPr>
          <w:trHeight w:val="340" w:hRule="exact"/>
        </w:trPr>
        <w:tc>
          <w:tcPr>
            <w:tcW w:w="9739" w:type="dxa"/>
            <w:gridSpan w:val="6"/>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20"/>
              <w:jc w:val="right"/>
              <w:textAlignment w:val="auto"/>
              <w:rPr>
                <w:rFonts w:ascii="宋体" w:hAnsi="Times New Roman" w:eastAsia="宋体" w:cs="宋体"/>
                <w:snapToGrid/>
                <w:sz w:val="20"/>
                <w:szCs w:val="24"/>
              </w:rPr>
            </w:pPr>
            <w:r>
              <w:rPr>
                <w:rFonts w:ascii="宋体" w:hAnsi="Times New Roman" w:eastAsia="宋体" w:cs="宋体"/>
                <w:snapToGrid/>
                <w:sz w:val="20"/>
                <w:szCs w:val="24"/>
              </w:rPr>
              <w:t>单位：万元</w:t>
            </w:r>
          </w:p>
        </w:tc>
      </w:tr>
      <w:tr>
        <w:tblPrEx>
          <w:tblCellMar>
            <w:top w:w="0" w:type="dxa"/>
            <w:left w:w="0" w:type="dxa"/>
            <w:bottom w:w="0" w:type="dxa"/>
            <w:right w:w="0" w:type="dxa"/>
          </w:tblCellMar>
        </w:tblPrEx>
        <w:trPr>
          <w:trHeight w:val="396" w:hRule="exact"/>
        </w:trPr>
        <w:tc>
          <w:tcPr>
            <w:tcW w:w="3139" w:type="dxa"/>
            <w:vMerge w:val="restart"/>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项目</w:t>
            </w:r>
          </w:p>
        </w:tc>
        <w:tc>
          <w:tcPr>
            <w:tcW w:w="6600" w:type="dxa"/>
            <w:gridSpan w:val="5"/>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本年数</w:t>
            </w:r>
          </w:p>
        </w:tc>
      </w:tr>
      <w:tr>
        <w:tblPrEx>
          <w:tblCellMar>
            <w:top w:w="0" w:type="dxa"/>
            <w:left w:w="0" w:type="dxa"/>
            <w:bottom w:w="0" w:type="dxa"/>
            <w:right w:w="0" w:type="dxa"/>
          </w:tblCellMar>
        </w:tblPrEx>
        <w:trPr>
          <w:trHeight w:val="396" w:hRule="exact"/>
        </w:trPr>
        <w:tc>
          <w:tcPr>
            <w:tcW w:w="3139" w:type="dxa"/>
            <w:vMerge w:val="continue"/>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textAlignment w:val="auto"/>
              <w:rPr>
                <w:rFonts w:ascii="宋体" w:hAnsi="Times New Roman" w:eastAsia="宋体" w:cs="宋体"/>
                <w:snapToGrid/>
                <w:sz w:val="20"/>
                <w:szCs w:val="24"/>
              </w:rPr>
            </w:pPr>
          </w:p>
        </w:tc>
        <w:tc>
          <w:tcPr>
            <w:tcW w:w="1320" w:type="dxa"/>
            <w:tcBorders>
              <w:top w:val="single" w:color="FFFFFF" w:sz="4"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合计</w:t>
            </w:r>
          </w:p>
        </w:tc>
        <w:tc>
          <w:tcPr>
            <w:tcW w:w="1320" w:type="dxa"/>
            <w:tcBorders>
              <w:top w:val="single" w:color="FFFFFF" w:sz="4"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业务活动费用</w:t>
            </w:r>
          </w:p>
        </w:tc>
        <w:tc>
          <w:tcPr>
            <w:tcW w:w="1320" w:type="dxa"/>
            <w:tcBorders>
              <w:top w:val="single" w:color="FFFFFF" w:sz="4"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单位管理费用</w:t>
            </w:r>
          </w:p>
        </w:tc>
        <w:tc>
          <w:tcPr>
            <w:tcW w:w="1320" w:type="dxa"/>
            <w:tcBorders>
              <w:top w:val="single" w:color="FFFFFF" w:sz="4"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经营费用</w:t>
            </w:r>
          </w:p>
        </w:tc>
        <w:tc>
          <w:tcPr>
            <w:tcW w:w="1320" w:type="dxa"/>
            <w:tcBorders>
              <w:top w:val="single" w:color="FFFFFF" w:sz="4"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其他费用</w:t>
            </w:r>
          </w:p>
        </w:tc>
      </w:tr>
      <w:tr>
        <w:tblPrEx>
          <w:tblCellMar>
            <w:top w:w="0" w:type="dxa"/>
            <w:left w:w="0" w:type="dxa"/>
            <w:bottom w:w="0" w:type="dxa"/>
            <w:right w:w="0" w:type="dxa"/>
          </w:tblCellMar>
        </w:tblPrEx>
        <w:trPr>
          <w:trHeight w:val="385" w:hRule="exact"/>
        </w:trPr>
        <w:tc>
          <w:tcPr>
            <w:tcW w:w="313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支付给本部门内部单位</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480" w:hRule="exact"/>
        </w:trPr>
        <w:tc>
          <w:tcPr>
            <w:tcW w:w="313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支付给本部门以外的同级政府单位</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480" w:hRule="exact"/>
        </w:trPr>
        <w:tc>
          <w:tcPr>
            <w:tcW w:w="313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支付给本部门以外的非同级政府单位</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r>
      <w:tr>
        <w:trPr>
          <w:trHeight w:val="385" w:hRule="exact"/>
        </w:trPr>
        <w:tc>
          <w:tcPr>
            <w:tcW w:w="3139"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支付给其他单位</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1,649</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4</w:t>
            </w: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1,645</w:t>
            </w:r>
          </w:p>
        </w:tc>
      </w:tr>
      <w:tr>
        <w:trPr>
          <w:trHeight w:val="385" w:hRule="exact"/>
        </w:trPr>
        <w:tc>
          <w:tcPr>
            <w:tcW w:w="3139"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960"/>
              <w:textAlignment w:val="auto"/>
              <w:rPr>
                <w:rFonts w:ascii="宋体" w:hAnsi="Times New Roman" w:eastAsia="宋体" w:cs="宋体"/>
                <w:snapToGrid/>
                <w:sz w:val="20"/>
                <w:szCs w:val="24"/>
              </w:rPr>
            </w:pPr>
            <w:r>
              <w:rPr>
                <w:rFonts w:ascii="宋体" w:hAnsi="Times New Roman" w:eastAsia="宋体" w:cs="宋体"/>
                <w:b/>
                <w:snapToGrid/>
                <w:sz w:val="20"/>
                <w:szCs w:val="24"/>
              </w:rPr>
              <w:t>合计</w:t>
            </w: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1,649</w:t>
            </w: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4</w:t>
            </w: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jc w:val="right"/>
              <w:textAlignment w:val="auto"/>
              <w:rPr>
                <w:rFonts w:ascii="Times New Roman" w:hAnsi="Times New Roman" w:eastAsia="Times New Roman" w:cs="Times New Roman"/>
                <w:snapToGrid/>
                <w:color w:val="auto"/>
                <w:sz w:val="24"/>
                <w:szCs w:val="24"/>
              </w:rPr>
            </w:pPr>
          </w:p>
        </w:tc>
        <w:tc>
          <w:tcPr>
            <w:tcW w:w="1320"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right="40"/>
              <w:jc w:val="right"/>
              <w:textAlignment w:val="auto"/>
              <w:rPr>
                <w:rFonts w:ascii="宋体" w:hAnsi="Times New Roman" w:eastAsia="宋体" w:cs="宋体"/>
                <w:snapToGrid/>
                <w:sz w:val="20"/>
                <w:szCs w:val="24"/>
              </w:rPr>
            </w:pPr>
            <w:r>
              <w:rPr>
                <w:rFonts w:ascii="宋体" w:hAnsi="Times New Roman" w:eastAsia="宋体" w:cs="宋体"/>
                <w:b/>
                <w:snapToGrid/>
                <w:sz w:val="20"/>
                <w:szCs w:val="24"/>
              </w:rPr>
              <w:t>1,645</w:t>
            </w:r>
          </w:p>
        </w:tc>
      </w:tr>
    </w:tbl>
    <w:p>
      <w:pPr>
        <w:spacing w:before="94" w:line="360" w:lineRule="auto"/>
        <w:ind w:firstLine="588" w:firstLineChars="200"/>
        <w:rPr>
          <w:rFonts w:hint="eastAsia" w:ascii="仿宋" w:hAnsi="仿宋" w:eastAsia="仿宋" w:cs="仿宋"/>
          <w:spacing w:val="2"/>
          <w:kern w:val="0"/>
          <w:sz w:val="29"/>
          <w:szCs w:val="29"/>
          <w:lang w:val="en-US" w:eastAsia="zh-CN"/>
        </w:rPr>
      </w:pPr>
      <w:r>
        <w:rPr>
          <w:rFonts w:hint="eastAsia" w:ascii="仿宋" w:hAnsi="仿宋" w:eastAsia="仿宋" w:cs="仿宋"/>
          <w:spacing w:val="2"/>
          <w:kern w:val="0"/>
          <w:sz w:val="29"/>
          <w:szCs w:val="29"/>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224" w:lineRule="auto"/>
        <w:ind w:right="11" w:firstLine="566" w:firstLineChars="200"/>
        <w:textAlignment w:val="baseline"/>
        <w:outlineLvl w:val="2"/>
        <w:rPr>
          <w:rFonts w:ascii="仿宋" w:hAnsi="仿宋" w:eastAsia="仿宋" w:cs="仿宋"/>
          <w:b/>
          <w:bCs/>
          <w:spacing w:val="-2"/>
          <w:kern w:val="0"/>
          <w:sz w:val="29"/>
          <w:szCs w:val="29"/>
          <w14:textOutline w14:w="5448" w14:cap="sq">
            <w14:solidFill>
              <w14:srgbClr w14:val="000000"/>
            </w14:solidFill>
            <w14:bevel/>
          </w14:textOutline>
        </w:rPr>
      </w:pPr>
      <w:r>
        <w:rPr>
          <w:rFonts w:hint="eastAsia" w:ascii="仿宋" w:hAnsi="仿宋" w:eastAsia="仿宋" w:cs="仿宋"/>
          <w:b/>
          <w:bCs/>
          <w:spacing w:val="1"/>
          <w:sz w:val="28"/>
          <w:szCs w:val="28"/>
        </w:rPr>
        <w:t>6.需要说明的其他事项</w:t>
      </w:r>
      <w:bookmarkEnd w:id="54"/>
    </w:p>
    <w:p>
      <w:pPr>
        <w:keepNext w:val="0"/>
        <w:keepLines w:val="0"/>
        <w:pageBreakBefore w:val="0"/>
        <w:widowControl/>
        <w:kinsoku w:val="0"/>
        <w:wordWrap/>
        <w:overflowPunct/>
        <w:topLinePunct w:val="0"/>
        <w:autoSpaceDE w:val="0"/>
        <w:autoSpaceDN w:val="0"/>
        <w:bidi w:val="0"/>
        <w:adjustRightInd w:val="0"/>
        <w:snapToGrid w:val="0"/>
        <w:spacing w:before="275" w:line="396" w:lineRule="auto"/>
        <w:ind w:left="40" w:right="130" w:firstLine="584"/>
        <w:jc w:val="left"/>
        <w:textAlignment w:val="baseline"/>
        <w:rPr>
          <w:rFonts w:hint="eastAsia" w:ascii="仿宋" w:hAnsi="仿宋" w:eastAsia="仿宋" w:cs="仿宋"/>
          <w:spacing w:val="8"/>
          <w:kern w:val="0"/>
          <w:sz w:val="29"/>
          <w:szCs w:val="29"/>
          <w:lang w:val="en-US" w:eastAsia="zh-CN"/>
        </w:rPr>
      </w:pPr>
      <w:r>
        <w:rPr>
          <w:rFonts w:ascii="仿宋" w:hAnsi="仿宋" w:eastAsia="仿宋" w:cs="仿宋"/>
          <w:spacing w:val="8"/>
          <w:kern w:val="0"/>
          <w:sz w:val="29"/>
          <w:szCs w:val="29"/>
        </w:rPr>
        <w:t>(1) 重要或有事项说明。逐笔披露政府部门或有事项的事 由和金额，如担保事项、未决诉讼或未决仲裁等，若无法预计金 额应说明理由</w:t>
      </w:r>
      <w:r>
        <w:rPr>
          <w:rFonts w:hint="eastAsia" w:ascii="仿宋" w:hAnsi="仿宋" w:eastAsia="仿宋" w:cs="仿宋"/>
          <w:spacing w:val="8"/>
          <w:kern w:val="0"/>
          <w:sz w:val="29"/>
          <w:szCs w:val="29"/>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 w:line="396" w:lineRule="auto"/>
        <w:ind w:right="130" w:firstLine="612" w:firstLineChars="200"/>
        <w:textAlignment w:val="baseline"/>
        <w:rPr>
          <w:rFonts w:hint="eastAsia" w:ascii="仿宋" w:hAnsi="仿宋" w:eastAsia="仿宋" w:cs="仿宋"/>
          <w:spacing w:val="8"/>
          <w:kern w:val="0"/>
          <w:sz w:val="29"/>
          <w:szCs w:val="29"/>
        </w:rPr>
      </w:pPr>
      <w:r>
        <w:rPr>
          <w:rFonts w:hint="eastAsia" w:ascii="仿宋" w:hAnsi="仿宋" w:eastAsia="仿宋" w:cs="仿宋"/>
          <w:spacing w:val="8"/>
          <w:kern w:val="0"/>
          <w:sz w:val="29"/>
          <w:szCs w:val="29"/>
        </w:rPr>
        <w:t>无。</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40" w:right="130" w:firstLine="584"/>
        <w:textAlignment w:val="baseline"/>
        <w:rPr>
          <w:rFonts w:ascii="仿宋" w:hAnsi="仿宋" w:eastAsia="仿宋" w:cs="仿宋"/>
          <w:sz w:val="29"/>
          <w:szCs w:val="29"/>
        </w:rPr>
      </w:pPr>
      <w:r>
        <w:rPr>
          <w:rFonts w:ascii="仿宋" w:hAnsi="仿宋" w:eastAsia="仿宋" w:cs="仿宋"/>
          <w:spacing w:val="8"/>
          <w:kern w:val="0"/>
          <w:sz w:val="29"/>
          <w:szCs w:val="29"/>
        </w:rPr>
        <w:t>(2) 以名义金额计量的资产名称、数量等情况， 以及以名 义金额计量理由的说明</w:t>
      </w:r>
      <w:r>
        <w:rPr>
          <w:rFonts w:ascii="宋体" w:hAnsi="宋体" w:eastAsia="宋体" w:cs="仿宋"/>
          <w:spacing w:val="9"/>
          <w:sz w:val="24"/>
          <w:szCs w:val="24"/>
        </w:rPr>
        <w:t>。</w:t>
      </w:r>
    </w:p>
    <w:p>
      <w:pPr>
        <w:widowControl w:val="0"/>
        <w:kinsoku/>
        <w:snapToGrid/>
        <w:spacing w:line="0" w:lineRule="atLeast"/>
        <w:textAlignment w:val="auto"/>
        <w:rPr>
          <w:rFonts w:ascii="Times New Roman" w:hAnsi="Times New Roman" w:eastAsia="Times New Roman" w:cs="Times New Roman"/>
          <w:snapToGrid/>
          <w:color w:val="auto"/>
          <w:sz w:val="2"/>
          <w:szCs w:val="24"/>
        </w:rPr>
      </w:pPr>
      <w:bookmarkStart w:id="55" w:name="ML_1_2_YMYJEJLZCQKB"/>
      <w:bookmarkEnd w:id="55"/>
    </w:p>
    <w:tbl>
      <w:tblPr>
        <w:tblStyle w:val="8"/>
        <w:tblW w:w="9637" w:type="dxa"/>
        <w:tblInd w:w="5" w:type="dxa"/>
        <w:tblLayout w:type="fixed"/>
        <w:tblCellMar>
          <w:top w:w="0" w:type="dxa"/>
          <w:left w:w="0" w:type="dxa"/>
          <w:bottom w:w="0" w:type="dxa"/>
          <w:right w:w="0" w:type="dxa"/>
        </w:tblCellMar>
      </w:tblPr>
      <w:tblGrid>
        <w:gridCol w:w="2267"/>
        <w:gridCol w:w="1133"/>
        <w:gridCol w:w="1133"/>
        <w:gridCol w:w="5101"/>
      </w:tblGrid>
      <w:tr>
        <w:tblPrEx>
          <w:tblCellMar>
            <w:top w:w="0" w:type="dxa"/>
            <w:left w:w="0" w:type="dxa"/>
            <w:bottom w:w="0" w:type="dxa"/>
            <w:right w:w="0" w:type="dxa"/>
          </w:tblCellMar>
        </w:tblPrEx>
        <w:trPr>
          <w:trHeight w:val="850" w:hRule="exact"/>
        </w:trPr>
        <w:tc>
          <w:tcPr>
            <w:tcW w:w="9634" w:type="dxa"/>
            <w:gridSpan w:val="4"/>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以名义金额计量资产情况表</w:t>
            </w:r>
          </w:p>
        </w:tc>
      </w:tr>
      <w:tr>
        <w:tblPrEx>
          <w:tblCellMar>
            <w:top w:w="0" w:type="dxa"/>
            <w:left w:w="0" w:type="dxa"/>
            <w:bottom w:w="0" w:type="dxa"/>
            <w:right w:w="0" w:type="dxa"/>
          </w:tblCellMar>
        </w:tblPrEx>
        <w:trPr>
          <w:trHeight w:val="396" w:hRule="exact"/>
        </w:trPr>
        <w:tc>
          <w:tcPr>
            <w:tcW w:w="2267" w:type="dxa"/>
            <w:vMerge w:val="restart"/>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对象</w:t>
            </w:r>
          </w:p>
        </w:tc>
        <w:tc>
          <w:tcPr>
            <w:tcW w:w="2266" w:type="dxa"/>
            <w:gridSpan w:val="2"/>
            <w:tcBorders>
              <w:top w:val="single" w:color="000000" w:sz="8"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数量</w:t>
            </w:r>
          </w:p>
        </w:tc>
        <w:tc>
          <w:tcPr>
            <w:tcW w:w="5101" w:type="dxa"/>
            <w:tcBorders>
              <w:top w:val="single" w:color="000000" w:sz="8" w:space="0"/>
              <w:left w:val="single" w:color="000000" w:sz="8" w:space="0"/>
              <w:bottom w:val="single" w:color="FFFFFF" w:sz="4" w:space="0"/>
              <w:right w:val="single" w:color="FFFFFF" w:sz="4" w:space="0"/>
            </w:tcBorders>
            <w:shd w:val="clear" w:color="auto" w:fill="FFFFFF"/>
            <w:vAlign w:val="center"/>
          </w:tcPr>
          <w:p>
            <w:pPr>
              <w:widowControl w:val="0"/>
              <w:kinsoku/>
              <w:snapToGrid/>
              <w:jc w:val="center"/>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96" w:hRule="exact"/>
        </w:trPr>
        <w:tc>
          <w:tcPr>
            <w:tcW w:w="2267" w:type="dxa"/>
            <w:vMerge w:val="continue"/>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133"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上年数</w:t>
            </w:r>
          </w:p>
        </w:tc>
        <w:tc>
          <w:tcPr>
            <w:tcW w:w="1133"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本年数</w:t>
            </w:r>
          </w:p>
        </w:tc>
        <w:tc>
          <w:tcPr>
            <w:tcW w:w="5101" w:type="dxa"/>
            <w:tcBorders>
              <w:top w:val="single" w:color="000000" w:sz="8" w:space="0"/>
              <w:left w:val="single" w:color="000000" w:sz="8" w:space="0"/>
              <w:bottom w:val="single" w:color="000000" w:sz="8" w:space="0"/>
              <w:right w:val="single" w:color="FFFFFF" w:sz="4" w:space="0"/>
            </w:tcBorders>
            <w:shd w:val="clear" w:color="auto" w:fill="FFFFFF"/>
            <w:vAlign w:val="center"/>
          </w:tcPr>
          <w:p>
            <w:pPr>
              <w:widowControl w:val="0"/>
              <w:kinsoku/>
              <w:snapToGrid/>
              <w:spacing w:line="240" w:lineRule="exact"/>
              <w:ind w:left="20"/>
              <w:jc w:val="center"/>
              <w:textAlignment w:val="auto"/>
              <w:rPr>
                <w:rFonts w:ascii="宋体" w:hAnsi="Times New Roman" w:eastAsia="宋体" w:cs="宋体"/>
                <w:snapToGrid/>
                <w:sz w:val="20"/>
                <w:szCs w:val="24"/>
              </w:rPr>
            </w:pPr>
            <w:r>
              <w:rPr>
                <w:rFonts w:ascii="宋体" w:hAnsi="Times New Roman" w:eastAsia="宋体" w:cs="宋体"/>
                <w:b/>
                <w:snapToGrid/>
                <w:sz w:val="20"/>
                <w:szCs w:val="24"/>
              </w:rPr>
              <w:t>以名义金额计量的理由</w:t>
            </w:r>
          </w:p>
        </w:tc>
      </w:tr>
      <w:tr>
        <w:tblPrEx>
          <w:tblCellMar>
            <w:top w:w="0" w:type="dxa"/>
            <w:left w:w="0" w:type="dxa"/>
            <w:bottom w:w="0" w:type="dxa"/>
            <w:right w:w="0" w:type="dxa"/>
          </w:tblCellMar>
        </w:tblPrEx>
        <w:trPr>
          <w:trHeight w:val="396" w:hRule="exact"/>
        </w:trPr>
        <w:tc>
          <w:tcPr>
            <w:tcW w:w="226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存货</w:t>
            </w: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5101"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96" w:hRule="exact"/>
        </w:trPr>
        <w:tc>
          <w:tcPr>
            <w:tcW w:w="226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固定资产</w:t>
            </w: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5101"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96" w:hRule="exact"/>
        </w:trPr>
        <w:tc>
          <w:tcPr>
            <w:tcW w:w="226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土地、房屋和构筑物</w:t>
            </w: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5101"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96" w:hRule="exact"/>
        </w:trPr>
        <w:tc>
          <w:tcPr>
            <w:tcW w:w="226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设备</w:t>
            </w: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5101"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96" w:hRule="exact"/>
        </w:trPr>
        <w:tc>
          <w:tcPr>
            <w:tcW w:w="226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文物和陈列品</w:t>
            </w: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5101"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96" w:hRule="exact"/>
        </w:trPr>
        <w:tc>
          <w:tcPr>
            <w:tcW w:w="226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图书、档案</w:t>
            </w: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5101"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96" w:hRule="exact"/>
        </w:trPr>
        <w:tc>
          <w:tcPr>
            <w:tcW w:w="226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家具、用具</w:t>
            </w: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5101"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96" w:hRule="exact"/>
        </w:trPr>
        <w:tc>
          <w:tcPr>
            <w:tcW w:w="226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特种动植物</w:t>
            </w: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5101"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96" w:hRule="exact"/>
        </w:trPr>
        <w:tc>
          <w:tcPr>
            <w:tcW w:w="226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40"/>
              <w:textAlignment w:val="auto"/>
              <w:rPr>
                <w:rFonts w:ascii="宋体" w:hAnsi="Times New Roman" w:eastAsia="宋体" w:cs="宋体"/>
                <w:snapToGrid/>
                <w:sz w:val="20"/>
                <w:szCs w:val="24"/>
              </w:rPr>
            </w:pPr>
            <w:r>
              <w:rPr>
                <w:rFonts w:ascii="宋体" w:hAnsi="Times New Roman" w:eastAsia="宋体" w:cs="宋体"/>
                <w:b/>
                <w:snapToGrid/>
                <w:sz w:val="20"/>
                <w:szCs w:val="24"/>
              </w:rPr>
              <w:t>无形资产</w:t>
            </w: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5101"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96" w:hRule="exact"/>
        </w:trPr>
        <w:tc>
          <w:tcPr>
            <w:tcW w:w="226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专利权</w:t>
            </w: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5101"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96" w:hRule="exact"/>
        </w:trPr>
        <w:tc>
          <w:tcPr>
            <w:tcW w:w="226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非专利技术</w:t>
            </w: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5101"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96" w:hRule="exact"/>
        </w:trPr>
        <w:tc>
          <w:tcPr>
            <w:tcW w:w="226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著作权</w:t>
            </w: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5101"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96" w:hRule="exact"/>
        </w:trPr>
        <w:tc>
          <w:tcPr>
            <w:tcW w:w="226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资源资质</w:t>
            </w: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5101"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96" w:hRule="exact"/>
        </w:trPr>
        <w:tc>
          <w:tcPr>
            <w:tcW w:w="226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商标权</w:t>
            </w: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5101"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96" w:hRule="exact"/>
        </w:trPr>
        <w:tc>
          <w:tcPr>
            <w:tcW w:w="226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信息数据</w:t>
            </w: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5101"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96" w:hRule="exact"/>
        </w:trPr>
        <w:tc>
          <w:tcPr>
            <w:tcW w:w="2267"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spacing w:line="240" w:lineRule="exact"/>
              <w:ind w:left="160"/>
              <w:textAlignment w:val="auto"/>
              <w:rPr>
                <w:rFonts w:ascii="宋体" w:hAnsi="Times New Roman" w:eastAsia="宋体" w:cs="宋体"/>
                <w:snapToGrid/>
                <w:sz w:val="20"/>
                <w:szCs w:val="24"/>
              </w:rPr>
            </w:pPr>
            <w:r>
              <w:rPr>
                <w:rFonts w:ascii="宋体" w:hAnsi="Times New Roman" w:eastAsia="宋体" w:cs="宋体"/>
                <w:snapToGrid/>
                <w:sz w:val="20"/>
                <w:szCs w:val="24"/>
              </w:rPr>
              <w:t>其他</w:t>
            </w: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133" w:type="dxa"/>
            <w:tcBorders>
              <w:top w:val="single" w:color="FFFFFF" w:sz="4" w:space="0"/>
              <w:left w:val="single" w:color="FFFFFF" w:sz="4"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5101" w:type="dxa"/>
            <w:tcBorders>
              <w:top w:val="single" w:color="FFFFFF" w:sz="4" w:space="0"/>
              <w:left w:val="single" w:color="000000" w:sz="8" w:space="0"/>
              <w:bottom w:val="single" w:color="FFFFFF" w:sz="4"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r>
        <w:tblPrEx>
          <w:tblCellMar>
            <w:top w:w="0" w:type="dxa"/>
            <w:left w:w="0" w:type="dxa"/>
            <w:bottom w:w="0" w:type="dxa"/>
            <w:right w:w="0" w:type="dxa"/>
          </w:tblCellMar>
        </w:tblPrEx>
        <w:trPr>
          <w:trHeight w:val="396" w:hRule="exact"/>
        </w:trPr>
        <w:tc>
          <w:tcPr>
            <w:tcW w:w="2267"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spacing w:line="240" w:lineRule="exact"/>
              <w:ind w:left="260"/>
              <w:textAlignment w:val="auto"/>
              <w:rPr>
                <w:rFonts w:ascii="宋体" w:hAnsi="Times New Roman" w:eastAsia="宋体" w:cs="宋体"/>
                <w:snapToGrid/>
                <w:sz w:val="20"/>
                <w:szCs w:val="24"/>
              </w:rPr>
            </w:pPr>
            <w:r>
              <w:rPr>
                <w:rFonts w:ascii="宋体" w:hAnsi="Times New Roman" w:eastAsia="宋体" w:cs="宋体"/>
                <w:snapToGrid/>
                <w:sz w:val="20"/>
                <w:szCs w:val="24"/>
              </w:rPr>
              <w:t>合计</w:t>
            </w:r>
          </w:p>
        </w:tc>
        <w:tc>
          <w:tcPr>
            <w:tcW w:w="1133"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1133"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c>
          <w:tcPr>
            <w:tcW w:w="5101" w:type="dxa"/>
            <w:tcBorders>
              <w:top w:val="single" w:color="000000" w:sz="8" w:space="0"/>
              <w:left w:val="single" w:color="FFFFFF" w:sz="4" w:space="0"/>
              <w:bottom w:val="single" w:color="000000" w:sz="8" w:space="0"/>
              <w:right w:val="single" w:color="FFFFFF" w:sz="4" w:space="0"/>
            </w:tcBorders>
            <w:shd w:val="clear" w:color="auto" w:fill="FFFFFF"/>
            <w:vAlign w:val="center"/>
          </w:tcPr>
          <w:p>
            <w:pPr>
              <w:widowControl w:val="0"/>
              <w:kinsoku/>
              <w:snapToGrid/>
              <w:textAlignment w:val="auto"/>
              <w:rPr>
                <w:rFonts w:ascii="Times New Roman" w:hAnsi="Times New Roman" w:eastAsia="Times New Roman" w:cs="Times New Roman"/>
                <w:snapToGrid/>
                <w:color w:val="auto"/>
                <w:sz w:val="24"/>
                <w:szCs w:val="24"/>
              </w:rPr>
            </w:pPr>
          </w:p>
        </w:tc>
      </w:tr>
    </w:tbl>
    <w:p>
      <w:pPr>
        <w:spacing w:before="1" w:line="360" w:lineRule="auto"/>
        <w:ind w:left="166" w:leftChars="79" w:right="129" w:firstLine="620" w:firstLineChars="301"/>
        <w:jc w:val="center"/>
        <w:rPr>
          <w:rFonts w:hint="eastAsia" w:ascii="宋体" w:hAnsi="宋体" w:eastAsia="宋体" w:cs="宋体"/>
          <w:spacing w:val="8"/>
          <w:sz w:val="19"/>
          <w:szCs w:val="19"/>
          <w:lang w:val="en-US" w:eastAsia="zh-CN"/>
          <w14:textOutline w14:w="3619" w14:cap="sq">
            <w14:solidFill>
              <w14:srgbClr w14:val="000000"/>
            </w14:solidFill>
            <w14:bevel/>
          </w14:textOutline>
        </w:rPr>
      </w:pPr>
      <w:r>
        <w:rPr>
          <w:rFonts w:hint="eastAsia" w:ascii="宋体" w:hAnsi="宋体" w:eastAsia="宋体" w:cs="宋体"/>
          <w:spacing w:val="8"/>
          <w:sz w:val="19"/>
          <w:szCs w:val="19"/>
          <w:lang w:val="en-US" w:eastAsia="zh-CN"/>
          <w14:textOutline w14:w="3619" w14:cap="sq">
            <w14:solidFill>
              <w14:srgbClr w14:val="000000"/>
            </w14:solidFill>
            <w14:bevel/>
          </w14:textOutline>
        </w:rPr>
        <w:t xml:space="preserve"> </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1" w:line="360" w:lineRule="auto"/>
        <w:ind w:left="40" w:leftChars="0" w:right="130" w:firstLine="584" w:firstLineChars="0"/>
        <w:textAlignment w:val="baseline"/>
        <w:rPr>
          <w:rFonts w:ascii="仿宋" w:hAnsi="仿宋" w:eastAsia="仿宋" w:cs="仿宋"/>
          <w:spacing w:val="8"/>
          <w:kern w:val="0"/>
          <w:sz w:val="29"/>
          <w:szCs w:val="29"/>
        </w:rPr>
      </w:pPr>
      <w:r>
        <w:rPr>
          <w:rFonts w:ascii="仿宋" w:hAnsi="仿宋" w:eastAsia="仿宋" w:cs="仿宋"/>
          <w:spacing w:val="8"/>
          <w:kern w:val="0"/>
          <w:sz w:val="29"/>
          <w:szCs w:val="29"/>
        </w:rPr>
        <w:t>使用债务资金形成的固定资产、公共基础设施、保障 性住房等资产的账面价值、使用情况、收益情况及与此相关的债 务偿还情况。</w:t>
      </w:r>
    </w:p>
    <w:p>
      <w:pPr>
        <w:keepNext w:val="0"/>
        <w:keepLines w:val="0"/>
        <w:pageBreakBefore w:val="0"/>
        <w:widowControl/>
        <w:kinsoku w:val="0"/>
        <w:wordWrap/>
        <w:overflowPunct/>
        <w:topLinePunct w:val="0"/>
        <w:autoSpaceDE w:val="0"/>
        <w:autoSpaceDN w:val="0"/>
        <w:bidi w:val="0"/>
        <w:adjustRightInd w:val="0"/>
        <w:snapToGrid w:val="0"/>
        <w:spacing w:before="1" w:line="396" w:lineRule="auto"/>
        <w:ind w:right="130" w:firstLine="516" w:firstLineChars="200"/>
        <w:textAlignment w:val="baseline"/>
        <w:rPr>
          <w:rFonts w:hint="eastAsia" w:ascii="宋体" w:hAnsi="宋体" w:eastAsia="宋体" w:cs="仿宋"/>
          <w:spacing w:val="9"/>
          <w:sz w:val="24"/>
          <w:szCs w:val="24"/>
        </w:rPr>
      </w:pPr>
      <w:r>
        <w:rPr>
          <w:rFonts w:hint="eastAsia" w:ascii="宋体" w:hAnsi="宋体" w:eastAsia="宋体" w:cs="仿宋"/>
          <w:spacing w:val="9"/>
          <w:sz w:val="24"/>
          <w:szCs w:val="24"/>
        </w:rPr>
        <w:t>无。</w:t>
      </w:r>
    </w:p>
    <w:p>
      <w:pPr>
        <w:pStyle w:val="15"/>
        <w:keepNext w:val="0"/>
        <w:keepLines w:val="0"/>
        <w:pageBreakBefore w:val="0"/>
        <w:widowControl/>
        <w:numPr>
          <w:ilvl w:val="0"/>
          <w:numId w:val="1"/>
        </w:numPr>
        <w:kinsoku w:val="0"/>
        <w:wordWrap/>
        <w:overflowPunct/>
        <w:topLinePunct w:val="0"/>
        <w:autoSpaceDE w:val="0"/>
        <w:autoSpaceDN w:val="0"/>
        <w:bidi w:val="0"/>
        <w:adjustRightInd w:val="0"/>
        <w:snapToGrid w:val="0"/>
        <w:spacing w:before="1" w:line="360" w:lineRule="auto"/>
        <w:ind w:left="40" w:leftChars="0" w:firstLine="584" w:firstLineChars="0"/>
        <w:textAlignment w:val="baseline"/>
        <w:rPr>
          <w:rFonts w:ascii="仿宋" w:hAnsi="仿宋" w:eastAsia="仿宋" w:cs="仿宋"/>
          <w:snapToGrid w:val="0"/>
          <w:color w:val="000000"/>
          <w:spacing w:val="8"/>
          <w:kern w:val="0"/>
          <w:sz w:val="29"/>
          <w:szCs w:val="29"/>
          <w:lang w:val="en-US" w:eastAsia="zh-CN" w:bidi="ar-SA"/>
        </w:rPr>
      </w:pPr>
      <w:r>
        <w:rPr>
          <w:rFonts w:ascii="仿宋" w:hAnsi="仿宋" w:eastAsia="仿宋" w:cs="仿宋"/>
          <w:snapToGrid w:val="0"/>
          <w:color w:val="000000"/>
          <w:spacing w:val="8"/>
          <w:kern w:val="0"/>
          <w:sz w:val="29"/>
          <w:szCs w:val="29"/>
          <w:lang w:val="en-US" w:eastAsia="zh-CN" w:bidi="ar-SA"/>
        </w:rPr>
        <w:t>重要资产置换、无偿调入 ( 出 ) 、捐入 ( 出 ) 、报废、重大毁损等情况的说明。</w:t>
      </w:r>
    </w:p>
    <w:p>
      <w:pPr>
        <w:pStyle w:val="15"/>
        <w:keepNext w:val="0"/>
        <w:keepLines w:val="0"/>
        <w:pageBreakBefore w:val="0"/>
        <w:widowControl/>
        <w:kinsoku w:val="0"/>
        <w:wordWrap/>
        <w:overflowPunct/>
        <w:topLinePunct w:val="0"/>
        <w:autoSpaceDE w:val="0"/>
        <w:autoSpaceDN w:val="0"/>
        <w:bidi w:val="0"/>
        <w:adjustRightInd w:val="0"/>
        <w:snapToGrid w:val="0"/>
        <w:spacing w:before="1" w:line="396" w:lineRule="auto"/>
        <w:ind w:left="0" w:leftChars="0" w:firstLine="612" w:firstLineChars="200"/>
        <w:textAlignment w:val="baseline"/>
        <w:rPr>
          <w:rFonts w:hint="eastAsia" w:ascii="仿宋" w:hAnsi="仿宋" w:eastAsia="仿宋" w:cs="仿宋"/>
          <w:snapToGrid w:val="0"/>
          <w:color w:val="000000"/>
          <w:spacing w:val="8"/>
          <w:kern w:val="0"/>
          <w:sz w:val="29"/>
          <w:szCs w:val="29"/>
        </w:rPr>
      </w:pPr>
      <w:r>
        <w:rPr>
          <w:rFonts w:hint="eastAsia" w:ascii="仿宋" w:hAnsi="仿宋" w:eastAsia="仿宋" w:cs="仿宋"/>
          <w:snapToGrid w:val="0"/>
          <w:color w:val="000000"/>
          <w:spacing w:val="8"/>
          <w:kern w:val="0"/>
          <w:sz w:val="29"/>
          <w:szCs w:val="29"/>
        </w:rPr>
        <w:t>无。</w:t>
      </w:r>
    </w:p>
    <w:p>
      <w:pPr>
        <w:pStyle w:val="15"/>
        <w:keepNext w:val="0"/>
        <w:keepLines w:val="0"/>
        <w:pageBreakBefore w:val="0"/>
        <w:widowControl/>
        <w:numPr>
          <w:ilvl w:val="0"/>
          <w:numId w:val="1"/>
        </w:numPr>
        <w:kinsoku w:val="0"/>
        <w:wordWrap/>
        <w:overflowPunct/>
        <w:topLinePunct w:val="0"/>
        <w:autoSpaceDE w:val="0"/>
        <w:autoSpaceDN w:val="0"/>
        <w:bidi w:val="0"/>
        <w:adjustRightInd w:val="0"/>
        <w:snapToGrid w:val="0"/>
        <w:spacing w:before="1" w:line="360" w:lineRule="auto"/>
        <w:ind w:left="40" w:leftChars="0" w:firstLine="584" w:firstLineChars="0"/>
        <w:textAlignment w:val="baseline"/>
        <w:rPr>
          <w:rFonts w:ascii="仿宋" w:hAnsi="仿宋" w:eastAsia="仿宋" w:cs="仿宋"/>
          <w:snapToGrid w:val="0"/>
          <w:color w:val="000000"/>
          <w:spacing w:val="8"/>
          <w:kern w:val="0"/>
          <w:sz w:val="29"/>
          <w:szCs w:val="29"/>
          <w:lang w:val="en-US" w:eastAsia="zh-CN" w:bidi="ar-SA"/>
        </w:rPr>
      </w:pPr>
      <w:r>
        <w:rPr>
          <w:rFonts w:ascii="仿宋" w:hAnsi="仿宋" w:eastAsia="仿宋" w:cs="仿宋"/>
          <w:snapToGrid w:val="0"/>
          <w:color w:val="000000"/>
          <w:spacing w:val="8"/>
          <w:kern w:val="0"/>
          <w:sz w:val="29"/>
          <w:szCs w:val="29"/>
          <w:lang w:val="en-US" w:eastAsia="zh-CN" w:bidi="ar-SA"/>
        </w:rPr>
        <w:t>对于政府部门管理的公共基础设施、文物文化资产、 保障性住房、自然资源资产等重要资产，披露种类和实物量等相 关信息。</w:t>
      </w:r>
    </w:p>
    <w:p>
      <w:pPr>
        <w:pStyle w:val="15"/>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96" w:lineRule="auto"/>
        <w:ind w:firstLine="612" w:firstLineChars="200"/>
        <w:textAlignment w:val="baseline"/>
        <w:rPr>
          <w:rFonts w:hint="eastAsia" w:ascii="仿宋" w:hAnsi="仿宋" w:eastAsia="仿宋" w:cs="仿宋"/>
          <w:snapToGrid w:val="0"/>
          <w:color w:val="000000"/>
          <w:spacing w:val="8"/>
          <w:kern w:val="0"/>
          <w:sz w:val="29"/>
          <w:szCs w:val="29"/>
        </w:rPr>
      </w:pPr>
      <w:r>
        <w:rPr>
          <w:rFonts w:hint="eastAsia" w:ascii="仿宋" w:hAnsi="仿宋" w:eastAsia="仿宋" w:cs="仿宋"/>
          <w:snapToGrid w:val="0"/>
          <w:color w:val="000000"/>
          <w:spacing w:val="8"/>
          <w:kern w:val="0"/>
          <w:sz w:val="29"/>
          <w:szCs w:val="29"/>
        </w:rPr>
        <w:t>无。</w:t>
      </w:r>
    </w:p>
    <w:p>
      <w:pPr>
        <w:pStyle w:val="15"/>
        <w:keepNext w:val="0"/>
        <w:keepLines w:val="0"/>
        <w:pageBreakBefore w:val="0"/>
        <w:widowControl/>
        <w:numPr>
          <w:ilvl w:val="0"/>
          <w:numId w:val="1"/>
        </w:numPr>
        <w:kinsoku w:val="0"/>
        <w:wordWrap/>
        <w:overflowPunct/>
        <w:topLinePunct w:val="0"/>
        <w:autoSpaceDE w:val="0"/>
        <w:autoSpaceDN w:val="0"/>
        <w:bidi w:val="0"/>
        <w:adjustRightInd w:val="0"/>
        <w:snapToGrid w:val="0"/>
        <w:spacing w:before="1" w:line="360" w:lineRule="auto"/>
        <w:ind w:left="40" w:leftChars="0" w:firstLine="584" w:firstLineChars="0"/>
        <w:textAlignment w:val="baseline"/>
        <w:rPr>
          <w:rFonts w:ascii="仿宋" w:hAnsi="仿宋" w:eastAsia="仿宋" w:cs="仿宋"/>
          <w:snapToGrid w:val="0"/>
          <w:color w:val="000000"/>
          <w:spacing w:val="8"/>
          <w:kern w:val="0"/>
          <w:sz w:val="29"/>
          <w:szCs w:val="29"/>
          <w:lang w:val="en-US" w:eastAsia="zh-CN" w:bidi="ar-SA"/>
        </w:rPr>
      </w:pPr>
      <w:r>
        <w:rPr>
          <w:rFonts w:ascii="仿宋" w:hAnsi="仿宋" w:eastAsia="仿宋" w:cs="仿宋"/>
          <w:snapToGrid w:val="0"/>
          <w:color w:val="000000"/>
          <w:spacing w:val="8"/>
          <w:kern w:val="0"/>
          <w:sz w:val="29"/>
          <w:szCs w:val="29"/>
          <w:lang w:val="en-US" w:eastAsia="zh-CN" w:bidi="ar-SA"/>
        </w:rPr>
        <w:t>PPP 项目合同的总体描述、重要条款及报告期间所发 生的项目合同变更情况。</w:t>
      </w:r>
    </w:p>
    <w:p>
      <w:pPr>
        <w:pStyle w:val="15"/>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96" w:lineRule="auto"/>
        <w:ind w:firstLine="612" w:firstLineChars="200"/>
        <w:textAlignment w:val="baseline"/>
        <w:rPr>
          <w:rFonts w:hint="eastAsia" w:ascii="仿宋" w:hAnsi="仿宋" w:eastAsia="仿宋" w:cs="仿宋"/>
          <w:snapToGrid w:val="0"/>
          <w:color w:val="000000"/>
          <w:spacing w:val="8"/>
          <w:kern w:val="0"/>
          <w:sz w:val="29"/>
          <w:szCs w:val="29"/>
        </w:rPr>
      </w:pPr>
      <w:r>
        <w:rPr>
          <w:rFonts w:hint="eastAsia" w:ascii="仿宋" w:hAnsi="仿宋" w:eastAsia="仿宋" w:cs="仿宋"/>
          <w:snapToGrid w:val="0"/>
          <w:color w:val="000000"/>
          <w:spacing w:val="8"/>
          <w:kern w:val="0"/>
          <w:sz w:val="29"/>
          <w:szCs w:val="29"/>
        </w:rPr>
        <w:t>无。</w:t>
      </w:r>
    </w:p>
    <w:p>
      <w:pPr>
        <w:pStyle w:val="15"/>
        <w:keepNext w:val="0"/>
        <w:keepLines w:val="0"/>
        <w:pageBreakBefore w:val="0"/>
        <w:widowControl/>
        <w:numPr>
          <w:ilvl w:val="0"/>
          <w:numId w:val="1"/>
        </w:numPr>
        <w:kinsoku w:val="0"/>
        <w:wordWrap/>
        <w:overflowPunct/>
        <w:topLinePunct w:val="0"/>
        <w:autoSpaceDE w:val="0"/>
        <w:autoSpaceDN w:val="0"/>
        <w:bidi w:val="0"/>
        <w:adjustRightInd w:val="0"/>
        <w:snapToGrid w:val="0"/>
        <w:spacing w:before="1" w:line="360" w:lineRule="auto"/>
        <w:ind w:left="40" w:leftChars="0" w:firstLine="584" w:firstLineChars="0"/>
        <w:textAlignment w:val="baseline"/>
        <w:rPr>
          <w:rFonts w:ascii="仿宋" w:hAnsi="仿宋" w:eastAsia="仿宋" w:cs="仿宋"/>
          <w:snapToGrid w:val="0"/>
          <w:color w:val="000000"/>
          <w:spacing w:val="8"/>
          <w:kern w:val="0"/>
          <w:sz w:val="29"/>
          <w:szCs w:val="29"/>
          <w:lang w:val="en-US" w:eastAsia="zh-CN" w:bidi="ar-SA"/>
        </w:rPr>
      </w:pPr>
      <w:r>
        <w:rPr>
          <w:rFonts w:ascii="仿宋" w:hAnsi="仿宋" w:eastAsia="仿宋" w:cs="仿宋"/>
          <w:snapToGrid w:val="0"/>
          <w:color w:val="000000"/>
          <w:spacing w:val="8"/>
          <w:kern w:val="0"/>
          <w:sz w:val="29"/>
          <w:szCs w:val="29"/>
          <w:lang w:val="en-US" w:eastAsia="zh-CN" w:bidi="ar-SA"/>
        </w:rPr>
        <w:t>《政府会计准则制度解释第 4 号》 中规定的特殊情况 抵销事项的报表项目及金额 ( 由一级部门合并主体说明) 。</w:t>
      </w:r>
    </w:p>
    <w:p>
      <w:pPr>
        <w:pStyle w:val="15"/>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96" w:lineRule="auto"/>
        <w:ind w:firstLine="612" w:firstLineChars="200"/>
        <w:textAlignment w:val="baseline"/>
        <w:rPr>
          <w:rFonts w:hint="eastAsia" w:ascii="仿宋" w:hAnsi="仿宋" w:eastAsia="仿宋" w:cs="仿宋"/>
          <w:snapToGrid w:val="0"/>
          <w:color w:val="000000"/>
          <w:spacing w:val="8"/>
          <w:kern w:val="0"/>
          <w:sz w:val="29"/>
          <w:szCs w:val="29"/>
        </w:rPr>
      </w:pPr>
      <w:r>
        <w:rPr>
          <w:rFonts w:hint="eastAsia" w:ascii="仿宋" w:hAnsi="仿宋" w:eastAsia="仿宋" w:cs="仿宋"/>
          <w:snapToGrid w:val="0"/>
          <w:color w:val="000000"/>
          <w:spacing w:val="8"/>
          <w:kern w:val="0"/>
          <w:sz w:val="29"/>
          <w:szCs w:val="29"/>
        </w:rPr>
        <w:t>无。</w:t>
      </w:r>
    </w:p>
    <w:p>
      <w:pPr>
        <w:pStyle w:val="15"/>
        <w:keepNext w:val="0"/>
        <w:keepLines w:val="0"/>
        <w:pageBreakBefore w:val="0"/>
        <w:widowControl/>
        <w:numPr>
          <w:ilvl w:val="0"/>
          <w:numId w:val="1"/>
        </w:numPr>
        <w:kinsoku w:val="0"/>
        <w:wordWrap/>
        <w:overflowPunct/>
        <w:topLinePunct w:val="0"/>
        <w:autoSpaceDE w:val="0"/>
        <w:autoSpaceDN w:val="0"/>
        <w:bidi w:val="0"/>
        <w:adjustRightInd w:val="0"/>
        <w:snapToGrid w:val="0"/>
        <w:spacing w:before="1" w:line="360" w:lineRule="auto"/>
        <w:ind w:left="40" w:leftChars="0" w:firstLine="584" w:firstLineChars="0"/>
        <w:textAlignment w:val="baseline"/>
        <w:rPr>
          <w:rFonts w:ascii="仿宋" w:hAnsi="仿宋" w:eastAsia="仿宋" w:cs="仿宋"/>
          <w:snapToGrid w:val="0"/>
          <w:color w:val="000000"/>
          <w:spacing w:val="8"/>
          <w:kern w:val="0"/>
          <w:sz w:val="29"/>
          <w:szCs w:val="29"/>
          <w:lang w:val="en-US" w:eastAsia="zh-CN" w:bidi="ar-SA"/>
        </w:rPr>
      </w:pPr>
      <w:r>
        <w:rPr>
          <w:rFonts w:ascii="仿宋" w:hAnsi="仿宋" w:eastAsia="仿宋" w:cs="仿宋"/>
          <w:snapToGrid w:val="0"/>
          <w:color w:val="000000"/>
          <w:spacing w:val="8"/>
          <w:kern w:val="0"/>
          <w:sz w:val="29"/>
          <w:szCs w:val="29"/>
          <w:lang w:val="en-US" w:eastAsia="zh-CN" w:bidi="ar-SA"/>
        </w:rPr>
        <w:t>资产负债表项目年初数调整情况。</w:t>
      </w:r>
    </w:p>
    <w:p>
      <w:pPr>
        <w:pStyle w:val="15"/>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96" w:lineRule="auto"/>
        <w:ind w:firstLine="612" w:firstLineChars="200"/>
        <w:textAlignment w:val="baseline"/>
        <w:rPr>
          <w:rFonts w:hint="eastAsia" w:ascii="仿宋" w:hAnsi="仿宋" w:eastAsia="仿宋" w:cs="仿宋"/>
          <w:snapToGrid w:val="0"/>
          <w:color w:val="000000"/>
          <w:spacing w:val="8"/>
          <w:kern w:val="0"/>
          <w:sz w:val="29"/>
          <w:szCs w:val="29"/>
        </w:rPr>
      </w:pPr>
      <w:r>
        <w:rPr>
          <w:rFonts w:hint="eastAsia" w:ascii="仿宋" w:hAnsi="仿宋" w:eastAsia="仿宋" w:cs="仿宋"/>
          <w:snapToGrid w:val="0"/>
          <w:color w:val="000000"/>
          <w:spacing w:val="8"/>
          <w:kern w:val="0"/>
          <w:sz w:val="29"/>
          <w:szCs w:val="29"/>
        </w:rPr>
        <w:t>无。</w:t>
      </w:r>
    </w:p>
    <w:p>
      <w:pPr>
        <w:pStyle w:val="15"/>
        <w:keepNext w:val="0"/>
        <w:keepLines w:val="0"/>
        <w:pageBreakBefore w:val="0"/>
        <w:widowControl/>
        <w:numPr>
          <w:ilvl w:val="0"/>
          <w:numId w:val="1"/>
        </w:numPr>
        <w:kinsoku w:val="0"/>
        <w:wordWrap/>
        <w:overflowPunct/>
        <w:topLinePunct w:val="0"/>
        <w:autoSpaceDE w:val="0"/>
        <w:autoSpaceDN w:val="0"/>
        <w:bidi w:val="0"/>
        <w:adjustRightInd w:val="0"/>
        <w:snapToGrid w:val="0"/>
        <w:spacing w:before="1" w:line="360" w:lineRule="auto"/>
        <w:ind w:left="40" w:leftChars="0" w:firstLine="584" w:firstLineChars="0"/>
        <w:textAlignment w:val="baseline"/>
        <w:rPr>
          <w:rFonts w:ascii="仿宋" w:hAnsi="仿宋" w:eastAsia="仿宋" w:cs="仿宋"/>
          <w:snapToGrid w:val="0"/>
          <w:color w:val="000000"/>
          <w:spacing w:val="8"/>
          <w:kern w:val="0"/>
          <w:sz w:val="29"/>
          <w:szCs w:val="29"/>
          <w:lang w:val="en-US" w:eastAsia="zh-CN" w:bidi="ar-SA"/>
        </w:rPr>
      </w:pPr>
      <w:r>
        <w:rPr>
          <w:rFonts w:ascii="仿宋" w:hAnsi="仿宋" w:eastAsia="仿宋" w:cs="仿宋"/>
          <w:snapToGrid w:val="0"/>
          <w:color w:val="000000"/>
          <w:spacing w:val="8"/>
          <w:kern w:val="0"/>
          <w:sz w:val="29"/>
          <w:szCs w:val="29"/>
          <w:lang w:val="en-US" w:eastAsia="zh-CN" w:bidi="ar-SA"/>
        </w:rPr>
        <w:t>政府会计具体准则中要求附注披露的其他内容， 以及 其他未在报表中列示，但对政府部门财务状况有重大影响的事项。</w:t>
      </w:r>
    </w:p>
    <w:p>
      <w:pPr>
        <w:pStyle w:val="15"/>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96" w:lineRule="auto"/>
        <w:ind w:firstLine="612" w:firstLineChars="200"/>
        <w:textAlignment w:val="baseline"/>
        <w:rPr>
          <w:rFonts w:hint="eastAsia" w:ascii="仿宋" w:hAnsi="仿宋" w:eastAsia="仿宋" w:cs="仿宋"/>
          <w:snapToGrid w:val="0"/>
          <w:color w:val="000000"/>
          <w:spacing w:val="8"/>
          <w:kern w:val="0"/>
          <w:sz w:val="29"/>
          <w:szCs w:val="29"/>
        </w:rPr>
      </w:pPr>
      <w:r>
        <w:rPr>
          <w:rFonts w:hint="eastAsia" w:ascii="仿宋" w:hAnsi="仿宋" w:eastAsia="仿宋" w:cs="仿宋"/>
          <w:snapToGrid w:val="0"/>
          <w:color w:val="000000"/>
          <w:spacing w:val="8"/>
          <w:kern w:val="0"/>
          <w:sz w:val="29"/>
          <w:szCs w:val="29"/>
        </w:rPr>
        <w:t>无。</w:t>
      </w:r>
    </w:p>
    <w:p>
      <w:pPr>
        <w:spacing w:line="360" w:lineRule="auto"/>
        <w:ind w:left="630"/>
        <w:outlineLvl w:val="0"/>
        <w:rPr>
          <w:rFonts w:ascii="黑体" w:hAnsi="黑体" w:eastAsia="黑体" w:cs="黑体"/>
          <w:b/>
          <w:spacing w:val="-5"/>
          <w:sz w:val="28"/>
          <w:szCs w:val="28"/>
        </w:rPr>
      </w:pPr>
      <w:bookmarkStart w:id="56" w:name="_Toc16273"/>
      <w:r>
        <w:rPr>
          <w:rFonts w:ascii="黑体" w:hAnsi="黑体" w:eastAsia="黑体" w:cs="黑体"/>
          <w:b/>
          <w:spacing w:val="-5"/>
          <w:sz w:val="28"/>
          <w:szCs w:val="28"/>
        </w:rPr>
        <w:t>二、  政府部门财务分析</w:t>
      </w:r>
      <w:bookmarkEnd w:id="56"/>
    </w:p>
    <w:p>
      <w:pPr>
        <w:keepNext w:val="0"/>
        <w:keepLines w:val="0"/>
        <w:pageBreakBefore w:val="0"/>
        <w:widowControl/>
        <w:kinsoku w:val="0"/>
        <w:wordWrap/>
        <w:overflowPunct/>
        <w:topLinePunct w:val="0"/>
        <w:autoSpaceDE w:val="0"/>
        <w:autoSpaceDN w:val="0"/>
        <w:bidi w:val="0"/>
        <w:adjustRightInd w:val="0"/>
        <w:snapToGrid w:val="0"/>
        <w:spacing w:line="221" w:lineRule="auto"/>
        <w:ind w:left="618"/>
        <w:textAlignment w:val="baseline"/>
        <w:outlineLvl w:val="1"/>
        <w:rPr>
          <w:rFonts w:ascii="楷体" w:hAnsi="楷体" w:eastAsia="楷体" w:cs="楷体"/>
          <w:b/>
          <w:bCs w:val="0"/>
          <w:spacing w:val="-8"/>
          <w:sz w:val="28"/>
          <w:szCs w:val="28"/>
        </w:rPr>
      </w:pPr>
      <w:bookmarkStart w:id="57" w:name="_Toc30520"/>
      <w:r>
        <w:rPr>
          <w:rFonts w:ascii="楷体" w:hAnsi="楷体" w:eastAsia="楷体" w:cs="楷体"/>
          <w:b/>
          <w:bCs w:val="0"/>
          <w:spacing w:val="-8"/>
          <w:sz w:val="28"/>
          <w:szCs w:val="28"/>
        </w:rPr>
        <w:t>(一) 政府部门工作目标完成情况</w:t>
      </w:r>
      <w:bookmarkEnd w:id="57"/>
    </w:p>
    <w:p>
      <w:pPr>
        <w:keepNext w:val="0"/>
        <w:keepLines w:val="0"/>
        <w:pageBreakBefore w:val="0"/>
        <w:widowControl/>
        <w:kinsoku w:val="0"/>
        <w:wordWrap/>
        <w:overflowPunct/>
        <w:topLinePunct w:val="0"/>
        <w:autoSpaceDE w:val="0"/>
        <w:autoSpaceDN w:val="0"/>
        <w:bidi w:val="0"/>
        <w:adjustRightInd w:val="0"/>
        <w:snapToGrid w:val="0"/>
        <w:spacing w:before="120" w:beforeLines="50" w:line="396" w:lineRule="auto"/>
        <w:ind w:left="15" w:leftChars="7" w:right="11" w:firstLine="604" w:firstLineChars="200"/>
        <w:jc w:val="left"/>
        <w:textAlignment w:val="baseline"/>
        <w:rPr>
          <w:rFonts w:hint="eastAsia" w:ascii="仿宋" w:hAnsi="仿宋" w:eastAsia="仿宋" w:cs="仿宋"/>
          <w:spacing w:val="6"/>
          <w:kern w:val="0"/>
          <w:sz w:val="29"/>
          <w:szCs w:val="29"/>
        </w:rPr>
      </w:pPr>
      <w:r>
        <w:rPr>
          <w:rFonts w:hint="eastAsia" w:ascii="仿宋" w:hAnsi="仿宋" w:eastAsia="仿宋" w:cs="仿宋"/>
          <w:spacing w:val="6"/>
          <w:kern w:val="0"/>
          <w:sz w:val="29"/>
          <w:szCs w:val="29"/>
        </w:rPr>
        <w:t>1、凝心聚力，年度主要任务指标出色完成</w:t>
      </w:r>
    </w:p>
    <w:p>
      <w:pPr>
        <w:keepNext w:val="0"/>
        <w:keepLines w:val="0"/>
        <w:pageBreakBefore w:val="0"/>
        <w:widowControl/>
        <w:kinsoku w:val="0"/>
        <w:wordWrap/>
        <w:overflowPunct/>
        <w:topLinePunct w:val="0"/>
        <w:autoSpaceDE w:val="0"/>
        <w:autoSpaceDN w:val="0"/>
        <w:bidi w:val="0"/>
        <w:adjustRightInd w:val="0"/>
        <w:snapToGrid w:val="0"/>
        <w:spacing w:before="120" w:beforeLines="50" w:line="396" w:lineRule="auto"/>
        <w:ind w:left="15" w:leftChars="7" w:right="11" w:firstLine="604" w:firstLineChars="200"/>
        <w:jc w:val="left"/>
        <w:textAlignment w:val="baseline"/>
        <w:rPr>
          <w:rFonts w:hint="eastAsia" w:ascii="仿宋" w:hAnsi="仿宋" w:eastAsia="仿宋" w:cs="仿宋"/>
          <w:spacing w:val="6"/>
          <w:kern w:val="0"/>
          <w:sz w:val="29"/>
          <w:szCs w:val="29"/>
        </w:rPr>
      </w:pPr>
      <w:r>
        <w:rPr>
          <w:rFonts w:hint="eastAsia" w:ascii="仿宋" w:hAnsi="仿宋" w:eastAsia="仿宋" w:cs="仿宋"/>
          <w:spacing w:val="6"/>
          <w:kern w:val="0"/>
          <w:sz w:val="29"/>
          <w:szCs w:val="29"/>
        </w:rPr>
        <w:t>2、严格突出问题整改</w:t>
      </w:r>
    </w:p>
    <w:p>
      <w:pPr>
        <w:keepNext w:val="0"/>
        <w:keepLines w:val="0"/>
        <w:pageBreakBefore w:val="0"/>
        <w:widowControl/>
        <w:kinsoku w:val="0"/>
        <w:wordWrap/>
        <w:overflowPunct/>
        <w:topLinePunct w:val="0"/>
        <w:autoSpaceDE w:val="0"/>
        <w:autoSpaceDN w:val="0"/>
        <w:bidi w:val="0"/>
        <w:adjustRightInd w:val="0"/>
        <w:snapToGrid w:val="0"/>
        <w:spacing w:before="120" w:beforeLines="50" w:line="396" w:lineRule="auto"/>
        <w:ind w:left="15" w:leftChars="7" w:right="11" w:firstLine="604" w:firstLineChars="200"/>
        <w:jc w:val="left"/>
        <w:textAlignment w:val="baseline"/>
        <w:rPr>
          <w:rFonts w:hint="eastAsia" w:ascii="仿宋" w:hAnsi="仿宋" w:eastAsia="仿宋" w:cs="仿宋"/>
          <w:spacing w:val="6"/>
          <w:kern w:val="0"/>
          <w:sz w:val="29"/>
          <w:szCs w:val="29"/>
        </w:rPr>
      </w:pPr>
      <w:r>
        <w:rPr>
          <w:rFonts w:hint="eastAsia" w:ascii="仿宋" w:hAnsi="仿宋" w:eastAsia="仿宋" w:cs="仿宋"/>
          <w:spacing w:val="6"/>
          <w:kern w:val="0"/>
          <w:sz w:val="29"/>
          <w:szCs w:val="29"/>
        </w:rPr>
        <w:t>3、做大做强工业经济</w:t>
      </w:r>
    </w:p>
    <w:p>
      <w:pPr>
        <w:keepNext w:val="0"/>
        <w:keepLines w:val="0"/>
        <w:pageBreakBefore w:val="0"/>
        <w:widowControl/>
        <w:kinsoku w:val="0"/>
        <w:wordWrap/>
        <w:overflowPunct/>
        <w:topLinePunct w:val="0"/>
        <w:autoSpaceDE w:val="0"/>
        <w:autoSpaceDN w:val="0"/>
        <w:bidi w:val="0"/>
        <w:adjustRightInd w:val="0"/>
        <w:snapToGrid w:val="0"/>
        <w:spacing w:before="120" w:beforeLines="50" w:line="396" w:lineRule="auto"/>
        <w:ind w:left="15" w:leftChars="7" w:right="11" w:firstLine="604" w:firstLineChars="200"/>
        <w:jc w:val="left"/>
        <w:textAlignment w:val="baseline"/>
        <w:rPr>
          <w:rFonts w:hint="eastAsia" w:ascii="仿宋" w:hAnsi="仿宋" w:eastAsia="仿宋" w:cs="仿宋"/>
          <w:spacing w:val="6"/>
          <w:kern w:val="0"/>
          <w:sz w:val="29"/>
          <w:szCs w:val="29"/>
        </w:rPr>
      </w:pPr>
      <w:r>
        <w:rPr>
          <w:rFonts w:hint="eastAsia" w:ascii="仿宋" w:hAnsi="仿宋" w:eastAsia="仿宋" w:cs="仿宋"/>
          <w:spacing w:val="6"/>
          <w:kern w:val="0"/>
          <w:sz w:val="29"/>
          <w:szCs w:val="29"/>
        </w:rPr>
        <w:t>4、大力推进自主创新</w:t>
      </w:r>
    </w:p>
    <w:p>
      <w:pPr>
        <w:keepNext w:val="0"/>
        <w:keepLines w:val="0"/>
        <w:pageBreakBefore w:val="0"/>
        <w:widowControl/>
        <w:kinsoku w:val="0"/>
        <w:wordWrap/>
        <w:overflowPunct/>
        <w:topLinePunct w:val="0"/>
        <w:autoSpaceDE w:val="0"/>
        <w:autoSpaceDN w:val="0"/>
        <w:bidi w:val="0"/>
        <w:adjustRightInd w:val="0"/>
        <w:snapToGrid w:val="0"/>
        <w:spacing w:before="120" w:beforeLines="50" w:line="396" w:lineRule="auto"/>
        <w:ind w:left="15" w:leftChars="7" w:right="11" w:firstLine="604" w:firstLineChars="200"/>
        <w:jc w:val="left"/>
        <w:textAlignment w:val="baseline"/>
        <w:rPr>
          <w:rFonts w:hint="eastAsia" w:ascii="仿宋" w:hAnsi="仿宋" w:eastAsia="仿宋" w:cs="仿宋"/>
          <w:spacing w:val="6"/>
          <w:kern w:val="0"/>
          <w:sz w:val="29"/>
          <w:szCs w:val="29"/>
        </w:rPr>
      </w:pPr>
      <w:r>
        <w:rPr>
          <w:rFonts w:hint="eastAsia" w:ascii="仿宋" w:hAnsi="仿宋" w:eastAsia="仿宋" w:cs="仿宋"/>
          <w:spacing w:val="6"/>
          <w:kern w:val="0"/>
          <w:sz w:val="29"/>
          <w:szCs w:val="29"/>
        </w:rPr>
        <w:t>5、不断加强政府自身建设。</w:t>
      </w:r>
    </w:p>
    <w:p>
      <w:pPr>
        <w:keepNext w:val="0"/>
        <w:keepLines w:val="0"/>
        <w:pageBreakBefore w:val="0"/>
        <w:widowControl/>
        <w:kinsoku w:val="0"/>
        <w:wordWrap/>
        <w:overflowPunct/>
        <w:topLinePunct w:val="0"/>
        <w:autoSpaceDE w:val="0"/>
        <w:autoSpaceDN w:val="0"/>
        <w:bidi w:val="0"/>
        <w:adjustRightInd w:val="0"/>
        <w:snapToGrid w:val="0"/>
        <w:spacing w:line="221" w:lineRule="auto"/>
        <w:ind w:left="618"/>
        <w:textAlignment w:val="baseline"/>
        <w:outlineLvl w:val="1"/>
        <w:rPr>
          <w:rFonts w:ascii="楷体" w:hAnsi="楷体" w:eastAsia="楷体" w:cs="楷体"/>
          <w:b/>
          <w:bCs w:val="0"/>
          <w:spacing w:val="-8"/>
          <w:sz w:val="28"/>
          <w:szCs w:val="28"/>
        </w:rPr>
      </w:pPr>
      <w:bookmarkStart w:id="58" w:name="_Toc32269"/>
      <w:r>
        <w:rPr>
          <w:rFonts w:ascii="楷体" w:hAnsi="楷体" w:eastAsia="楷体" w:cs="楷体"/>
          <w:b/>
          <w:bCs w:val="0"/>
          <w:spacing w:val="-8"/>
          <w:sz w:val="28"/>
          <w:szCs w:val="28"/>
        </w:rPr>
        <w:t>(二) 政府部门财务状况分析</w:t>
      </w:r>
      <w:bookmarkEnd w:id="58"/>
    </w:p>
    <w:p>
      <w:pPr>
        <w:keepNext w:val="0"/>
        <w:keepLines w:val="0"/>
        <w:pageBreakBefore w:val="0"/>
        <w:widowControl/>
        <w:kinsoku w:val="0"/>
        <w:wordWrap/>
        <w:overflowPunct/>
        <w:topLinePunct w:val="0"/>
        <w:autoSpaceDE w:val="0"/>
        <w:autoSpaceDN w:val="0"/>
        <w:bidi w:val="0"/>
        <w:adjustRightInd w:val="0"/>
        <w:snapToGrid w:val="0"/>
        <w:spacing w:before="120" w:beforeLines="50" w:line="396" w:lineRule="auto"/>
        <w:ind w:left="15" w:leftChars="7" w:right="11" w:firstLine="604" w:firstLineChars="200"/>
        <w:jc w:val="left"/>
        <w:textAlignment w:val="baseline"/>
        <w:rPr>
          <w:rFonts w:hint="eastAsia" w:ascii="仿宋" w:hAnsi="仿宋" w:eastAsia="仿宋" w:cs="仿宋"/>
          <w:spacing w:val="6"/>
          <w:kern w:val="0"/>
          <w:sz w:val="29"/>
          <w:szCs w:val="29"/>
        </w:rPr>
      </w:pPr>
      <w:r>
        <w:rPr>
          <w:rFonts w:hint="eastAsia" w:ascii="仿宋" w:hAnsi="仿宋" w:eastAsia="仿宋" w:cs="仿宋"/>
          <w:spacing w:val="6"/>
          <w:kern w:val="0"/>
          <w:sz w:val="29"/>
          <w:szCs w:val="29"/>
        </w:rPr>
        <w:t>截至2022年末，资产总额5,011.07万元，部资产较上年比较稳定。其中：货币资金0万元，财政应返还额度0万元，预付账款0万元，应收账款净额3.31万元，其他应收款净额4,480.53万元，存货0万元，固定资产净值527.23万元，无形资产净值0万元。</w:t>
      </w:r>
    </w:p>
    <w:p>
      <w:pPr>
        <w:keepNext w:val="0"/>
        <w:keepLines w:val="0"/>
        <w:pageBreakBefore w:val="0"/>
        <w:widowControl/>
        <w:kinsoku w:val="0"/>
        <w:wordWrap/>
        <w:overflowPunct/>
        <w:topLinePunct w:val="0"/>
        <w:autoSpaceDE w:val="0"/>
        <w:autoSpaceDN w:val="0"/>
        <w:bidi w:val="0"/>
        <w:adjustRightInd w:val="0"/>
        <w:snapToGrid w:val="0"/>
        <w:spacing w:line="221" w:lineRule="auto"/>
        <w:ind w:left="618"/>
        <w:textAlignment w:val="baseline"/>
        <w:outlineLvl w:val="1"/>
        <w:rPr>
          <w:rFonts w:ascii="楷体" w:hAnsi="楷体" w:eastAsia="楷体" w:cs="楷体"/>
          <w:b/>
          <w:bCs w:val="0"/>
          <w:spacing w:val="-8"/>
          <w:sz w:val="28"/>
          <w:szCs w:val="28"/>
        </w:rPr>
      </w:pPr>
      <w:bookmarkStart w:id="59" w:name="_Toc28834"/>
      <w:r>
        <w:rPr>
          <w:rFonts w:ascii="楷体" w:hAnsi="楷体" w:eastAsia="楷体" w:cs="楷体"/>
          <w:b/>
          <w:bCs w:val="0"/>
          <w:spacing w:val="-8"/>
          <w:sz w:val="28"/>
          <w:szCs w:val="28"/>
        </w:rPr>
        <w:t>(三) 政府部门运行情况分析</w:t>
      </w:r>
      <w:bookmarkEnd w:id="59"/>
    </w:p>
    <w:p>
      <w:pPr>
        <w:keepNext w:val="0"/>
        <w:keepLines w:val="0"/>
        <w:pageBreakBefore w:val="0"/>
        <w:widowControl/>
        <w:kinsoku w:val="0"/>
        <w:wordWrap/>
        <w:overflowPunct/>
        <w:topLinePunct w:val="0"/>
        <w:autoSpaceDE w:val="0"/>
        <w:autoSpaceDN w:val="0"/>
        <w:bidi w:val="0"/>
        <w:adjustRightInd w:val="0"/>
        <w:snapToGrid w:val="0"/>
        <w:spacing w:before="120" w:beforeLines="50" w:line="396" w:lineRule="auto"/>
        <w:ind w:left="15" w:leftChars="7" w:right="11" w:firstLine="604" w:firstLineChars="200"/>
        <w:jc w:val="left"/>
        <w:textAlignment w:val="baseline"/>
        <w:rPr>
          <w:rFonts w:hint="eastAsia" w:ascii="仿宋" w:hAnsi="仿宋" w:eastAsia="仿宋" w:cs="仿宋"/>
          <w:spacing w:val="6"/>
          <w:kern w:val="0"/>
          <w:sz w:val="29"/>
          <w:szCs w:val="29"/>
        </w:rPr>
      </w:pPr>
      <w:r>
        <w:rPr>
          <w:rFonts w:hint="eastAsia" w:ascii="仿宋" w:hAnsi="仿宋" w:eastAsia="仿宋" w:cs="仿宋"/>
          <w:spacing w:val="6"/>
          <w:kern w:val="0"/>
          <w:sz w:val="29"/>
          <w:szCs w:val="29"/>
        </w:rPr>
        <w:t>全年总收入3,376.47万元，其中本年财政拨款收入3,376.47万元，利息收入0万元，其他收入0万元。</w:t>
      </w:r>
    </w:p>
    <w:p>
      <w:pPr>
        <w:keepNext w:val="0"/>
        <w:keepLines w:val="0"/>
        <w:pageBreakBefore w:val="0"/>
        <w:widowControl/>
        <w:kinsoku w:val="0"/>
        <w:wordWrap/>
        <w:overflowPunct/>
        <w:topLinePunct w:val="0"/>
        <w:autoSpaceDE w:val="0"/>
        <w:autoSpaceDN w:val="0"/>
        <w:bidi w:val="0"/>
        <w:adjustRightInd w:val="0"/>
        <w:snapToGrid w:val="0"/>
        <w:spacing w:line="221" w:lineRule="auto"/>
        <w:ind w:left="618"/>
        <w:textAlignment w:val="baseline"/>
        <w:outlineLvl w:val="1"/>
        <w:rPr>
          <w:rFonts w:ascii="楷体" w:hAnsi="楷体" w:eastAsia="楷体" w:cs="楷体"/>
          <w:b/>
          <w:bCs w:val="0"/>
          <w:spacing w:val="-8"/>
          <w:sz w:val="28"/>
          <w:szCs w:val="28"/>
        </w:rPr>
      </w:pPr>
      <w:bookmarkStart w:id="60" w:name="_Toc4695"/>
      <w:r>
        <w:rPr>
          <w:rFonts w:ascii="楷体" w:hAnsi="楷体" w:eastAsia="楷体" w:cs="楷体"/>
          <w:b/>
          <w:bCs w:val="0"/>
          <w:spacing w:val="-8"/>
          <w:sz w:val="28"/>
          <w:szCs w:val="28"/>
        </w:rPr>
        <w:t>(四) 政府部门财务管理情况</w:t>
      </w:r>
      <w:bookmarkEnd w:id="60"/>
    </w:p>
    <w:p>
      <w:pPr>
        <w:keepNext w:val="0"/>
        <w:keepLines w:val="0"/>
        <w:pageBreakBefore w:val="0"/>
        <w:widowControl/>
        <w:kinsoku w:val="0"/>
        <w:wordWrap/>
        <w:overflowPunct/>
        <w:topLinePunct w:val="0"/>
        <w:autoSpaceDE w:val="0"/>
        <w:autoSpaceDN w:val="0"/>
        <w:bidi w:val="0"/>
        <w:adjustRightInd w:val="0"/>
        <w:snapToGrid w:val="0"/>
        <w:spacing w:before="120" w:beforeLines="50" w:line="396" w:lineRule="auto"/>
        <w:ind w:left="15" w:leftChars="7" w:right="11" w:firstLine="604" w:firstLineChars="200"/>
        <w:jc w:val="left"/>
        <w:textAlignment w:val="baseline"/>
        <w:rPr>
          <w:rFonts w:hint="eastAsia" w:ascii="仿宋" w:hAnsi="仿宋" w:eastAsia="仿宋" w:cs="仿宋"/>
          <w:spacing w:val="6"/>
          <w:kern w:val="0"/>
          <w:sz w:val="29"/>
          <w:szCs w:val="29"/>
        </w:rPr>
      </w:pPr>
      <w:r>
        <w:rPr>
          <w:rFonts w:hint="eastAsia" w:ascii="仿宋" w:hAnsi="仿宋" w:eastAsia="仿宋" w:cs="仿宋"/>
          <w:spacing w:val="6"/>
          <w:kern w:val="0"/>
          <w:sz w:val="29"/>
          <w:szCs w:val="29"/>
        </w:rPr>
        <w:t>1、预算管理</w:t>
      </w:r>
    </w:p>
    <w:p>
      <w:pPr>
        <w:keepNext w:val="0"/>
        <w:keepLines w:val="0"/>
        <w:pageBreakBefore w:val="0"/>
        <w:widowControl/>
        <w:kinsoku w:val="0"/>
        <w:wordWrap/>
        <w:overflowPunct/>
        <w:topLinePunct w:val="0"/>
        <w:autoSpaceDE w:val="0"/>
        <w:autoSpaceDN w:val="0"/>
        <w:bidi w:val="0"/>
        <w:adjustRightInd w:val="0"/>
        <w:snapToGrid w:val="0"/>
        <w:spacing w:before="120" w:beforeLines="50" w:line="396" w:lineRule="auto"/>
        <w:ind w:left="15" w:leftChars="7" w:right="11" w:firstLine="604" w:firstLineChars="200"/>
        <w:jc w:val="left"/>
        <w:textAlignment w:val="baseline"/>
        <w:rPr>
          <w:rFonts w:hint="eastAsia" w:ascii="仿宋" w:hAnsi="仿宋" w:eastAsia="仿宋" w:cs="仿宋"/>
          <w:spacing w:val="6"/>
          <w:kern w:val="0"/>
          <w:sz w:val="29"/>
          <w:szCs w:val="29"/>
        </w:rPr>
      </w:pPr>
      <w:r>
        <w:rPr>
          <w:rFonts w:hint="eastAsia" w:ascii="仿宋" w:hAnsi="仿宋" w:eastAsia="仿宋" w:cs="仿宋"/>
          <w:spacing w:val="6"/>
          <w:kern w:val="0"/>
          <w:sz w:val="29"/>
          <w:szCs w:val="29"/>
        </w:rPr>
        <w:t>单位不断强化预算意识，实行部门综合预算管理，形成以单位领导支持、财务部门牵头、其他部门密切配合的工作格局，保证预算编制质量。结合单位业务情况，进行科学合理分配细化，部门预算经批复后，跟踪预算执行进度，及时组织收入，科学合理安排支出，降低预算支出的波动幅度。严格执行项目支出预算，积极组织项目实施，对于达到政府采购标准的项目支出，明确规定采购项目的采购期限，督促尽快组织实施采购计划。加强对预算执行过程的控制和结果的反馈，对预算执行差异及时分析成因和影响，并及时向领导和相关科室进行反馈，以采取措施纠正执行偏差，促进预算目标的全面完成。</w:t>
      </w:r>
    </w:p>
    <w:p>
      <w:pPr>
        <w:keepNext w:val="0"/>
        <w:keepLines w:val="0"/>
        <w:pageBreakBefore w:val="0"/>
        <w:widowControl/>
        <w:kinsoku w:val="0"/>
        <w:wordWrap/>
        <w:overflowPunct/>
        <w:topLinePunct w:val="0"/>
        <w:autoSpaceDE w:val="0"/>
        <w:autoSpaceDN w:val="0"/>
        <w:bidi w:val="0"/>
        <w:adjustRightInd w:val="0"/>
        <w:snapToGrid w:val="0"/>
        <w:spacing w:before="120" w:beforeLines="50" w:line="396" w:lineRule="auto"/>
        <w:ind w:left="15" w:leftChars="7" w:right="11" w:firstLine="604" w:firstLineChars="200"/>
        <w:jc w:val="left"/>
        <w:textAlignment w:val="baseline"/>
        <w:rPr>
          <w:rFonts w:hint="eastAsia" w:ascii="仿宋" w:hAnsi="仿宋" w:eastAsia="仿宋" w:cs="仿宋"/>
          <w:spacing w:val="6"/>
          <w:kern w:val="0"/>
          <w:sz w:val="29"/>
          <w:szCs w:val="29"/>
        </w:rPr>
      </w:pPr>
      <w:r>
        <w:rPr>
          <w:rFonts w:hint="eastAsia" w:ascii="仿宋" w:hAnsi="仿宋" w:eastAsia="仿宋" w:cs="仿宋"/>
          <w:spacing w:val="6"/>
          <w:kern w:val="0"/>
          <w:sz w:val="29"/>
          <w:szCs w:val="29"/>
        </w:rPr>
        <w:t>2、资产管理</w:t>
      </w:r>
    </w:p>
    <w:p>
      <w:pPr>
        <w:keepNext w:val="0"/>
        <w:keepLines w:val="0"/>
        <w:pageBreakBefore w:val="0"/>
        <w:widowControl/>
        <w:kinsoku w:val="0"/>
        <w:wordWrap/>
        <w:overflowPunct/>
        <w:topLinePunct w:val="0"/>
        <w:autoSpaceDE w:val="0"/>
        <w:autoSpaceDN w:val="0"/>
        <w:bidi w:val="0"/>
        <w:adjustRightInd w:val="0"/>
        <w:snapToGrid w:val="0"/>
        <w:spacing w:before="120" w:beforeLines="50" w:line="396" w:lineRule="auto"/>
        <w:ind w:left="15" w:leftChars="7" w:right="11" w:firstLine="604" w:firstLineChars="200"/>
        <w:jc w:val="left"/>
        <w:textAlignment w:val="baseline"/>
        <w:rPr>
          <w:rFonts w:hint="eastAsia" w:ascii="仿宋" w:hAnsi="仿宋" w:eastAsia="仿宋" w:cs="仿宋"/>
          <w:spacing w:val="6"/>
          <w:kern w:val="0"/>
          <w:sz w:val="29"/>
          <w:szCs w:val="29"/>
        </w:rPr>
      </w:pPr>
      <w:r>
        <w:rPr>
          <w:rFonts w:hint="eastAsia" w:ascii="仿宋" w:hAnsi="仿宋" w:eastAsia="仿宋" w:cs="仿宋"/>
          <w:spacing w:val="6"/>
          <w:kern w:val="0"/>
          <w:sz w:val="29"/>
          <w:szCs w:val="29"/>
        </w:rPr>
        <w:t>一是加强会计核算工作。严格执行现行固定资产管理制度，对已完工的基建工程、购入的固定资产、收到的捐赠资产等及时入账，并按照数量、金额登记明细账，编制固定资产卡片，确保账面上能真实、完整的反映单位的固定资产情况，并结合本单位的实际情况，完善固定资产管理制度。二是加强程序管理。对纳入政府采购目录范围内的资产采购，必须报政府采购中心进行政府采购；未纳入政府采购目录范围内的资产采购，采用其他形式采购。未纳入预算的固定资产，不得随意采购，确需急用，必须经相关部门批准。三是加强内部监督。定期或不定期的对固定资产进行抽查。检查固定资产的购置、领用、处置等程序是否合规，账实是否相符等，防止国有资产的流失。</w:t>
      </w:r>
    </w:p>
    <w:sectPr>
      <w:footerReference r:id="rId5" w:type="default"/>
      <w:pgSz w:w="11906" w:h="16839"/>
      <w:pgMar w:top="1431" w:right="1711" w:bottom="1170" w:left="1785" w:header="0" w:footer="99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创艺简隶书">
    <w:panose1 w:val="00000000000000000000"/>
    <w:charset w:val="00"/>
    <w:family w:val="auto"/>
    <w:pitch w:val="default"/>
    <w:sig w:usb0="00000000" w:usb1="00000000" w:usb2="00000000" w:usb3="00000000" w:csb0="00000000" w:csb1="00000000"/>
  </w:font>
  <w:font w:name="创艺繁隶书">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0" w:lineRule="auto"/>
      <w:ind w:left="4064"/>
      <w:rPr>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iTWU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NiTWUtAgAAVw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left" w:pos="6726"/>
        <w:tab w:val="clear" w:pos="4153"/>
      </w:tabs>
      <w:jc w:val="left"/>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4247B7"/>
    <w:multiLevelType w:val="singleLevel"/>
    <w:tmpl w:val="584247B7"/>
    <w:lvl w:ilvl="0" w:tentative="0">
      <w:start w:val="3"/>
      <w:numFmt w:val="decimal"/>
      <w:suff w:val="space"/>
      <w:lvlText w:val="(%1)"/>
      <w:lvlJc w:val="left"/>
      <w:pPr>
        <w:ind w:left="9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mNjljYzgzN2JmNGRkNThhNGQyNWIyMGEzZDY0NzQifQ=="/>
  </w:docVars>
  <w:rsids>
    <w:rsidRoot w:val="00D24ADA"/>
    <w:rsid w:val="000009F6"/>
    <w:rsid w:val="00011AD6"/>
    <w:rsid w:val="00027E89"/>
    <w:rsid w:val="00096661"/>
    <w:rsid w:val="000A30CC"/>
    <w:rsid w:val="000A310B"/>
    <w:rsid w:val="000B7557"/>
    <w:rsid w:val="000C6375"/>
    <w:rsid w:val="000C78B2"/>
    <w:rsid w:val="000F355C"/>
    <w:rsid w:val="00111694"/>
    <w:rsid w:val="001139AF"/>
    <w:rsid w:val="00143C7F"/>
    <w:rsid w:val="00145E73"/>
    <w:rsid w:val="0017385C"/>
    <w:rsid w:val="00175998"/>
    <w:rsid w:val="00180472"/>
    <w:rsid w:val="00196244"/>
    <w:rsid w:val="001A52B4"/>
    <w:rsid w:val="001A776A"/>
    <w:rsid w:val="001B17D9"/>
    <w:rsid w:val="001B40FC"/>
    <w:rsid w:val="001C21EF"/>
    <w:rsid w:val="001C2CC9"/>
    <w:rsid w:val="001E6999"/>
    <w:rsid w:val="00212E04"/>
    <w:rsid w:val="00222B7C"/>
    <w:rsid w:val="00225A66"/>
    <w:rsid w:val="00233EF6"/>
    <w:rsid w:val="002441F1"/>
    <w:rsid w:val="00274176"/>
    <w:rsid w:val="002754ED"/>
    <w:rsid w:val="0028189B"/>
    <w:rsid w:val="002862FC"/>
    <w:rsid w:val="002A055A"/>
    <w:rsid w:val="002D1339"/>
    <w:rsid w:val="002D139B"/>
    <w:rsid w:val="002D18B1"/>
    <w:rsid w:val="002D311D"/>
    <w:rsid w:val="002D79C5"/>
    <w:rsid w:val="002E0006"/>
    <w:rsid w:val="002E3544"/>
    <w:rsid w:val="002F6766"/>
    <w:rsid w:val="0030297D"/>
    <w:rsid w:val="00336FE2"/>
    <w:rsid w:val="00376968"/>
    <w:rsid w:val="00383F1B"/>
    <w:rsid w:val="003A42A9"/>
    <w:rsid w:val="003D5EC6"/>
    <w:rsid w:val="003D6850"/>
    <w:rsid w:val="003F75BA"/>
    <w:rsid w:val="00441621"/>
    <w:rsid w:val="00444D67"/>
    <w:rsid w:val="004479E5"/>
    <w:rsid w:val="00490C4C"/>
    <w:rsid w:val="0049664F"/>
    <w:rsid w:val="004A7EF0"/>
    <w:rsid w:val="004B3B57"/>
    <w:rsid w:val="004F2CFC"/>
    <w:rsid w:val="004F48E6"/>
    <w:rsid w:val="00500FD2"/>
    <w:rsid w:val="0050353F"/>
    <w:rsid w:val="005045F0"/>
    <w:rsid w:val="005120B9"/>
    <w:rsid w:val="005331E2"/>
    <w:rsid w:val="00547DFD"/>
    <w:rsid w:val="00557D6E"/>
    <w:rsid w:val="00563C0B"/>
    <w:rsid w:val="005666E5"/>
    <w:rsid w:val="005669F2"/>
    <w:rsid w:val="00572255"/>
    <w:rsid w:val="00574F49"/>
    <w:rsid w:val="00575E65"/>
    <w:rsid w:val="00580C03"/>
    <w:rsid w:val="005B139D"/>
    <w:rsid w:val="005C4701"/>
    <w:rsid w:val="005E1484"/>
    <w:rsid w:val="005E4E9C"/>
    <w:rsid w:val="005F1BDD"/>
    <w:rsid w:val="006019F2"/>
    <w:rsid w:val="00605976"/>
    <w:rsid w:val="00606DDC"/>
    <w:rsid w:val="00615763"/>
    <w:rsid w:val="00617F7E"/>
    <w:rsid w:val="00622F93"/>
    <w:rsid w:val="00631E8D"/>
    <w:rsid w:val="00641210"/>
    <w:rsid w:val="00653225"/>
    <w:rsid w:val="00657775"/>
    <w:rsid w:val="00666DCD"/>
    <w:rsid w:val="00683846"/>
    <w:rsid w:val="0068385C"/>
    <w:rsid w:val="0068732B"/>
    <w:rsid w:val="006C60B5"/>
    <w:rsid w:val="006D5F81"/>
    <w:rsid w:val="006F4AEF"/>
    <w:rsid w:val="00722175"/>
    <w:rsid w:val="00726325"/>
    <w:rsid w:val="007325C7"/>
    <w:rsid w:val="0073283C"/>
    <w:rsid w:val="00734C12"/>
    <w:rsid w:val="00747DB7"/>
    <w:rsid w:val="00776559"/>
    <w:rsid w:val="007813AD"/>
    <w:rsid w:val="0079770A"/>
    <w:rsid w:val="007A123B"/>
    <w:rsid w:val="007A3742"/>
    <w:rsid w:val="007D622E"/>
    <w:rsid w:val="007D6F59"/>
    <w:rsid w:val="007E0658"/>
    <w:rsid w:val="007F3C4A"/>
    <w:rsid w:val="0080176B"/>
    <w:rsid w:val="00811068"/>
    <w:rsid w:val="00815A10"/>
    <w:rsid w:val="00824826"/>
    <w:rsid w:val="008261D7"/>
    <w:rsid w:val="00830E88"/>
    <w:rsid w:val="00835F43"/>
    <w:rsid w:val="008404D5"/>
    <w:rsid w:val="00845764"/>
    <w:rsid w:val="00860FA3"/>
    <w:rsid w:val="00865128"/>
    <w:rsid w:val="00874ADB"/>
    <w:rsid w:val="008A2B82"/>
    <w:rsid w:val="008A590A"/>
    <w:rsid w:val="008A6157"/>
    <w:rsid w:val="008B1D0E"/>
    <w:rsid w:val="008B22AB"/>
    <w:rsid w:val="008B42A7"/>
    <w:rsid w:val="008D0DA4"/>
    <w:rsid w:val="008D4E5E"/>
    <w:rsid w:val="008F28F8"/>
    <w:rsid w:val="00936212"/>
    <w:rsid w:val="00940488"/>
    <w:rsid w:val="0095391B"/>
    <w:rsid w:val="00956E1F"/>
    <w:rsid w:val="009614BC"/>
    <w:rsid w:val="009648D1"/>
    <w:rsid w:val="0098727E"/>
    <w:rsid w:val="009C1238"/>
    <w:rsid w:val="009E4D70"/>
    <w:rsid w:val="009F327D"/>
    <w:rsid w:val="00A26036"/>
    <w:rsid w:val="00A33510"/>
    <w:rsid w:val="00A52B0C"/>
    <w:rsid w:val="00A7260B"/>
    <w:rsid w:val="00AA19E8"/>
    <w:rsid w:val="00AA5FF1"/>
    <w:rsid w:val="00AC274D"/>
    <w:rsid w:val="00AC7E7E"/>
    <w:rsid w:val="00AF03F2"/>
    <w:rsid w:val="00B00A44"/>
    <w:rsid w:val="00B0273E"/>
    <w:rsid w:val="00B12BC1"/>
    <w:rsid w:val="00B21B68"/>
    <w:rsid w:val="00B22687"/>
    <w:rsid w:val="00B47A4D"/>
    <w:rsid w:val="00B51F68"/>
    <w:rsid w:val="00B634BA"/>
    <w:rsid w:val="00B63ED7"/>
    <w:rsid w:val="00B701D8"/>
    <w:rsid w:val="00B83825"/>
    <w:rsid w:val="00B85290"/>
    <w:rsid w:val="00BA3B9A"/>
    <w:rsid w:val="00BD7801"/>
    <w:rsid w:val="00BE78D1"/>
    <w:rsid w:val="00C03953"/>
    <w:rsid w:val="00C54BAB"/>
    <w:rsid w:val="00C55B96"/>
    <w:rsid w:val="00C564C9"/>
    <w:rsid w:val="00C65671"/>
    <w:rsid w:val="00CB0907"/>
    <w:rsid w:val="00CB403C"/>
    <w:rsid w:val="00CB5E74"/>
    <w:rsid w:val="00CF4FCA"/>
    <w:rsid w:val="00D21368"/>
    <w:rsid w:val="00D235DE"/>
    <w:rsid w:val="00D24ADA"/>
    <w:rsid w:val="00D25D54"/>
    <w:rsid w:val="00D26127"/>
    <w:rsid w:val="00D3750D"/>
    <w:rsid w:val="00D45741"/>
    <w:rsid w:val="00D4754E"/>
    <w:rsid w:val="00D6791D"/>
    <w:rsid w:val="00D71124"/>
    <w:rsid w:val="00D77F66"/>
    <w:rsid w:val="00D82187"/>
    <w:rsid w:val="00DA6A22"/>
    <w:rsid w:val="00DB00CB"/>
    <w:rsid w:val="00DB4697"/>
    <w:rsid w:val="00DD280F"/>
    <w:rsid w:val="00DD6749"/>
    <w:rsid w:val="00DE0FB3"/>
    <w:rsid w:val="00DF5A4B"/>
    <w:rsid w:val="00E44A8B"/>
    <w:rsid w:val="00E5570C"/>
    <w:rsid w:val="00E604C7"/>
    <w:rsid w:val="00E608FC"/>
    <w:rsid w:val="00E645F8"/>
    <w:rsid w:val="00E75B6F"/>
    <w:rsid w:val="00E87F21"/>
    <w:rsid w:val="00ED2C9D"/>
    <w:rsid w:val="00EF022A"/>
    <w:rsid w:val="00EF3862"/>
    <w:rsid w:val="00F0266F"/>
    <w:rsid w:val="00F10CD1"/>
    <w:rsid w:val="00F357C6"/>
    <w:rsid w:val="00F53591"/>
    <w:rsid w:val="00F53EB1"/>
    <w:rsid w:val="00F66760"/>
    <w:rsid w:val="00F913CA"/>
    <w:rsid w:val="00F975CD"/>
    <w:rsid w:val="00FA2E01"/>
    <w:rsid w:val="00FB0D55"/>
    <w:rsid w:val="00FC2F75"/>
    <w:rsid w:val="011949CD"/>
    <w:rsid w:val="01317F69"/>
    <w:rsid w:val="01374E54"/>
    <w:rsid w:val="01E23011"/>
    <w:rsid w:val="02094A42"/>
    <w:rsid w:val="02532161"/>
    <w:rsid w:val="0365214C"/>
    <w:rsid w:val="037D56E7"/>
    <w:rsid w:val="038A1AFE"/>
    <w:rsid w:val="039B3DC0"/>
    <w:rsid w:val="03FB660C"/>
    <w:rsid w:val="040000C7"/>
    <w:rsid w:val="0442423B"/>
    <w:rsid w:val="04471852"/>
    <w:rsid w:val="044E0E32"/>
    <w:rsid w:val="045439B3"/>
    <w:rsid w:val="049802FF"/>
    <w:rsid w:val="05467449"/>
    <w:rsid w:val="054B5371"/>
    <w:rsid w:val="056D178C"/>
    <w:rsid w:val="05B57528"/>
    <w:rsid w:val="05E46541"/>
    <w:rsid w:val="06222576"/>
    <w:rsid w:val="06532730"/>
    <w:rsid w:val="06CF5257"/>
    <w:rsid w:val="07317D98"/>
    <w:rsid w:val="077741FC"/>
    <w:rsid w:val="07837045"/>
    <w:rsid w:val="080D4B60"/>
    <w:rsid w:val="085A5FF7"/>
    <w:rsid w:val="087150EF"/>
    <w:rsid w:val="08E92ED7"/>
    <w:rsid w:val="093A3733"/>
    <w:rsid w:val="09442803"/>
    <w:rsid w:val="09E71B0D"/>
    <w:rsid w:val="0A122902"/>
    <w:rsid w:val="0A1D0BF3"/>
    <w:rsid w:val="0A536495"/>
    <w:rsid w:val="0A8767F8"/>
    <w:rsid w:val="0AE12A99"/>
    <w:rsid w:val="0B185CF6"/>
    <w:rsid w:val="0B2E376B"/>
    <w:rsid w:val="0B574A70"/>
    <w:rsid w:val="0B666A61"/>
    <w:rsid w:val="0B811AED"/>
    <w:rsid w:val="0B927856"/>
    <w:rsid w:val="0BB93035"/>
    <w:rsid w:val="0BF70001"/>
    <w:rsid w:val="0C063DA0"/>
    <w:rsid w:val="0C201AF3"/>
    <w:rsid w:val="0C41302A"/>
    <w:rsid w:val="0C434FF4"/>
    <w:rsid w:val="0CBC3A23"/>
    <w:rsid w:val="0CC779D3"/>
    <w:rsid w:val="0CCE5DF6"/>
    <w:rsid w:val="0D533015"/>
    <w:rsid w:val="0D6B65B1"/>
    <w:rsid w:val="0DA00625"/>
    <w:rsid w:val="0E0F0F08"/>
    <w:rsid w:val="0E1924B1"/>
    <w:rsid w:val="0E356BBF"/>
    <w:rsid w:val="0E6179B4"/>
    <w:rsid w:val="0EA31D7A"/>
    <w:rsid w:val="0EB8730C"/>
    <w:rsid w:val="0EE83327"/>
    <w:rsid w:val="0F8B4CE8"/>
    <w:rsid w:val="0F916077"/>
    <w:rsid w:val="100C4134"/>
    <w:rsid w:val="103A5C8E"/>
    <w:rsid w:val="104F3F68"/>
    <w:rsid w:val="10505F32"/>
    <w:rsid w:val="10B57458"/>
    <w:rsid w:val="10BB33AB"/>
    <w:rsid w:val="10EC5C5A"/>
    <w:rsid w:val="10FE773C"/>
    <w:rsid w:val="11877731"/>
    <w:rsid w:val="11F8062F"/>
    <w:rsid w:val="1232769D"/>
    <w:rsid w:val="123A6C55"/>
    <w:rsid w:val="12A179E6"/>
    <w:rsid w:val="12CA5B28"/>
    <w:rsid w:val="12E0534B"/>
    <w:rsid w:val="13477178"/>
    <w:rsid w:val="13CF0162"/>
    <w:rsid w:val="14263231"/>
    <w:rsid w:val="147815B3"/>
    <w:rsid w:val="15427BF2"/>
    <w:rsid w:val="156C736A"/>
    <w:rsid w:val="15780A54"/>
    <w:rsid w:val="15A90C59"/>
    <w:rsid w:val="15D25265"/>
    <w:rsid w:val="16663DB9"/>
    <w:rsid w:val="167A31D7"/>
    <w:rsid w:val="168B3820"/>
    <w:rsid w:val="171C4DC0"/>
    <w:rsid w:val="17D97DC5"/>
    <w:rsid w:val="17DB2585"/>
    <w:rsid w:val="17F003B0"/>
    <w:rsid w:val="17FF5486"/>
    <w:rsid w:val="18057602"/>
    <w:rsid w:val="18090EA0"/>
    <w:rsid w:val="18363C5F"/>
    <w:rsid w:val="18910E95"/>
    <w:rsid w:val="18A230A3"/>
    <w:rsid w:val="18A60DE5"/>
    <w:rsid w:val="18A80790"/>
    <w:rsid w:val="190F698A"/>
    <w:rsid w:val="19157D18"/>
    <w:rsid w:val="19265A82"/>
    <w:rsid w:val="193E2DCB"/>
    <w:rsid w:val="196A0658"/>
    <w:rsid w:val="19876C46"/>
    <w:rsid w:val="19B117EF"/>
    <w:rsid w:val="19B46092"/>
    <w:rsid w:val="19D83220"/>
    <w:rsid w:val="19D96F98"/>
    <w:rsid w:val="19ED659F"/>
    <w:rsid w:val="1A11228E"/>
    <w:rsid w:val="1A147FD0"/>
    <w:rsid w:val="1A1561DB"/>
    <w:rsid w:val="1A457028"/>
    <w:rsid w:val="1A461E7E"/>
    <w:rsid w:val="1A5D3725"/>
    <w:rsid w:val="1ABD2416"/>
    <w:rsid w:val="1B441364"/>
    <w:rsid w:val="1B5763C6"/>
    <w:rsid w:val="1BB67591"/>
    <w:rsid w:val="1BD6553D"/>
    <w:rsid w:val="1CC932F4"/>
    <w:rsid w:val="1CCC4B92"/>
    <w:rsid w:val="1D2422D8"/>
    <w:rsid w:val="1D5E3A3C"/>
    <w:rsid w:val="1D69418F"/>
    <w:rsid w:val="1E215EB1"/>
    <w:rsid w:val="1E4C1AE7"/>
    <w:rsid w:val="1E51534F"/>
    <w:rsid w:val="1E957931"/>
    <w:rsid w:val="1ED33FB6"/>
    <w:rsid w:val="1FCA53B9"/>
    <w:rsid w:val="20831A0C"/>
    <w:rsid w:val="20B35E4D"/>
    <w:rsid w:val="20E406FC"/>
    <w:rsid w:val="20FA3A7C"/>
    <w:rsid w:val="2100305C"/>
    <w:rsid w:val="21093CBF"/>
    <w:rsid w:val="210E54DE"/>
    <w:rsid w:val="213E284F"/>
    <w:rsid w:val="214E201A"/>
    <w:rsid w:val="218527CE"/>
    <w:rsid w:val="218D48F0"/>
    <w:rsid w:val="21BE0F4D"/>
    <w:rsid w:val="220B3A67"/>
    <w:rsid w:val="222A0391"/>
    <w:rsid w:val="22521696"/>
    <w:rsid w:val="225E628C"/>
    <w:rsid w:val="22D36C7A"/>
    <w:rsid w:val="23241284"/>
    <w:rsid w:val="238F4548"/>
    <w:rsid w:val="23C51743"/>
    <w:rsid w:val="23C860B3"/>
    <w:rsid w:val="240D3AC6"/>
    <w:rsid w:val="244D480A"/>
    <w:rsid w:val="24545B99"/>
    <w:rsid w:val="247575E5"/>
    <w:rsid w:val="248B22C2"/>
    <w:rsid w:val="24961D0D"/>
    <w:rsid w:val="24A522A6"/>
    <w:rsid w:val="24B83BAA"/>
    <w:rsid w:val="24B91EA0"/>
    <w:rsid w:val="256736AA"/>
    <w:rsid w:val="26250EFD"/>
    <w:rsid w:val="26E01966"/>
    <w:rsid w:val="26FB67A0"/>
    <w:rsid w:val="277051B2"/>
    <w:rsid w:val="27814EF7"/>
    <w:rsid w:val="27D019DA"/>
    <w:rsid w:val="27D36DD5"/>
    <w:rsid w:val="27E14538"/>
    <w:rsid w:val="27FF5E1C"/>
    <w:rsid w:val="281178FD"/>
    <w:rsid w:val="28A40771"/>
    <w:rsid w:val="28A6098D"/>
    <w:rsid w:val="28F45255"/>
    <w:rsid w:val="294837F2"/>
    <w:rsid w:val="295B1778"/>
    <w:rsid w:val="295B5F19"/>
    <w:rsid w:val="29600466"/>
    <w:rsid w:val="29F23E8A"/>
    <w:rsid w:val="2A070FB7"/>
    <w:rsid w:val="2A094D30"/>
    <w:rsid w:val="2A0E2346"/>
    <w:rsid w:val="2A863A2B"/>
    <w:rsid w:val="2AD52E64"/>
    <w:rsid w:val="2AFA0B1C"/>
    <w:rsid w:val="2B1C6CE5"/>
    <w:rsid w:val="2B5B34E9"/>
    <w:rsid w:val="2BB1742D"/>
    <w:rsid w:val="2BEE0681"/>
    <w:rsid w:val="2C0C6A9D"/>
    <w:rsid w:val="2C35005E"/>
    <w:rsid w:val="2C6170A5"/>
    <w:rsid w:val="2CCF04B2"/>
    <w:rsid w:val="2D177764"/>
    <w:rsid w:val="2D1E6D44"/>
    <w:rsid w:val="2DB41456"/>
    <w:rsid w:val="2DD030CE"/>
    <w:rsid w:val="2DE24215"/>
    <w:rsid w:val="2E4F2F2D"/>
    <w:rsid w:val="2E57204A"/>
    <w:rsid w:val="2E76670C"/>
    <w:rsid w:val="2EFC1307"/>
    <w:rsid w:val="2F25085E"/>
    <w:rsid w:val="2F2D14C0"/>
    <w:rsid w:val="2F3E191F"/>
    <w:rsid w:val="2F57478F"/>
    <w:rsid w:val="2F8F3F29"/>
    <w:rsid w:val="303D5733"/>
    <w:rsid w:val="304A7836"/>
    <w:rsid w:val="305331A8"/>
    <w:rsid w:val="30696528"/>
    <w:rsid w:val="308C2216"/>
    <w:rsid w:val="311D7312"/>
    <w:rsid w:val="312E1520"/>
    <w:rsid w:val="31853836"/>
    <w:rsid w:val="31B23EFF"/>
    <w:rsid w:val="31C76B93"/>
    <w:rsid w:val="31F44517"/>
    <w:rsid w:val="31FD7870"/>
    <w:rsid w:val="32236BAB"/>
    <w:rsid w:val="324C26FE"/>
    <w:rsid w:val="32A73338"/>
    <w:rsid w:val="32D57EA5"/>
    <w:rsid w:val="32D87995"/>
    <w:rsid w:val="32FF4F22"/>
    <w:rsid w:val="332E3A59"/>
    <w:rsid w:val="334D3EDF"/>
    <w:rsid w:val="3350577D"/>
    <w:rsid w:val="337C6572"/>
    <w:rsid w:val="338A588C"/>
    <w:rsid w:val="33D36691"/>
    <w:rsid w:val="34183FF5"/>
    <w:rsid w:val="349124F1"/>
    <w:rsid w:val="351D1FD7"/>
    <w:rsid w:val="35494B7A"/>
    <w:rsid w:val="35926521"/>
    <w:rsid w:val="361B6516"/>
    <w:rsid w:val="36787E36"/>
    <w:rsid w:val="36826596"/>
    <w:rsid w:val="36A55DE0"/>
    <w:rsid w:val="36A91D74"/>
    <w:rsid w:val="36AA1648"/>
    <w:rsid w:val="36F6663C"/>
    <w:rsid w:val="37117919"/>
    <w:rsid w:val="374D6BA3"/>
    <w:rsid w:val="3842422E"/>
    <w:rsid w:val="38AC5B4C"/>
    <w:rsid w:val="38F372D7"/>
    <w:rsid w:val="391E1E7A"/>
    <w:rsid w:val="392D7775"/>
    <w:rsid w:val="39643D30"/>
    <w:rsid w:val="398402F3"/>
    <w:rsid w:val="39882115"/>
    <w:rsid w:val="398B39B3"/>
    <w:rsid w:val="399F745E"/>
    <w:rsid w:val="39C42A21"/>
    <w:rsid w:val="3A1D346E"/>
    <w:rsid w:val="3A1E65D5"/>
    <w:rsid w:val="3A26548A"/>
    <w:rsid w:val="3A6A35C8"/>
    <w:rsid w:val="3B1B48C3"/>
    <w:rsid w:val="3B710987"/>
    <w:rsid w:val="3BC82C9D"/>
    <w:rsid w:val="3C225D0A"/>
    <w:rsid w:val="3C4D31A2"/>
    <w:rsid w:val="3C5F552A"/>
    <w:rsid w:val="3CD76F0F"/>
    <w:rsid w:val="3CE84C78"/>
    <w:rsid w:val="3CF67395"/>
    <w:rsid w:val="3D3879AE"/>
    <w:rsid w:val="3DB334D8"/>
    <w:rsid w:val="3DBF1E7D"/>
    <w:rsid w:val="3DCB3567"/>
    <w:rsid w:val="3DEE2762"/>
    <w:rsid w:val="3DFE2398"/>
    <w:rsid w:val="3E18333B"/>
    <w:rsid w:val="3E3069AA"/>
    <w:rsid w:val="3EE33949"/>
    <w:rsid w:val="3EEC4EF4"/>
    <w:rsid w:val="3EF5367D"/>
    <w:rsid w:val="3EFE4C27"/>
    <w:rsid w:val="3F6C393F"/>
    <w:rsid w:val="3F79605C"/>
    <w:rsid w:val="401B0CA8"/>
    <w:rsid w:val="4024421A"/>
    <w:rsid w:val="402D6F51"/>
    <w:rsid w:val="403B1563"/>
    <w:rsid w:val="409C0254"/>
    <w:rsid w:val="409C64A6"/>
    <w:rsid w:val="40EA5463"/>
    <w:rsid w:val="412D35A2"/>
    <w:rsid w:val="41390199"/>
    <w:rsid w:val="4140601A"/>
    <w:rsid w:val="41614FF9"/>
    <w:rsid w:val="41962EF5"/>
    <w:rsid w:val="41CA0DF1"/>
    <w:rsid w:val="421107CE"/>
    <w:rsid w:val="42AB29D0"/>
    <w:rsid w:val="42BD2703"/>
    <w:rsid w:val="43086074"/>
    <w:rsid w:val="433F136A"/>
    <w:rsid w:val="43D718F1"/>
    <w:rsid w:val="43FB34E3"/>
    <w:rsid w:val="440525B4"/>
    <w:rsid w:val="44CE29A6"/>
    <w:rsid w:val="44DC1567"/>
    <w:rsid w:val="44E87F0C"/>
    <w:rsid w:val="44FF5255"/>
    <w:rsid w:val="450B1E4C"/>
    <w:rsid w:val="457A6296"/>
    <w:rsid w:val="45921C25"/>
    <w:rsid w:val="45B24076"/>
    <w:rsid w:val="45BA0DE7"/>
    <w:rsid w:val="45BC4EF4"/>
    <w:rsid w:val="45D95AA6"/>
    <w:rsid w:val="45EA7CB3"/>
    <w:rsid w:val="460F771A"/>
    <w:rsid w:val="46326F64"/>
    <w:rsid w:val="466C2476"/>
    <w:rsid w:val="46CA37DB"/>
    <w:rsid w:val="46F506BE"/>
    <w:rsid w:val="4703102D"/>
    <w:rsid w:val="47170634"/>
    <w:rsid w:val="47A65E5C"/>
    <w:rsid w:val="47A85730"/>
    <w:rsid w:val="47AD71EA"/>
    <w:rsid w:val="48221986"/>
    <w:rsid w:val="48580F04"/>
    <w:rsid w:val="48621D83"/>
    <w:rsid w:val="48877A3B"/>
    <w:rsid w:val="48CB5B7A"/>
    <w:rsid w:val="490D666A"/>
    <w:rsid w:val="4921031A"/>
    <w:rsid w:val="49647D7D"/>
    <w:rsid w:val="4977360C"/>
    <w:rsid w:val="498B70B7"/>
    <w:rsid w:val="49EA0282"/>
    <w:rsid w:val="4AEC627C"/>
    <w:rsid w:val="4B105AC6"/>
    <w:rsid w:val="4B94301A"/>
    <w:rsid w:val="4BC3361F"/>
    <w:rsid w:val="4C365A00"/>
    <w:rsid w:val="4C40062D"/>
    <w:rsid w:val="4CF833D4"/>
    <w:rsid w:val="4D0E24D9"/>
    <w:rsid w:val="4D3A32CE"/>
    <w:rsid w:val="4D4E0B28"/>
    <w:rsid w:val="4DA44BEC"/>
    <w:rsid w:val="4DD728CB"/>
    <w:rsid w:val="4E683E6B"/>
    <w:rsid w:val="4E7B3B9E"/>
    <w:rsid w:val="4E7E323F"/>
    <w:rsid w:val="4E852794"/>
    <w:rsid w:val="4E8C7B5A"/>
    <w:rsid w:val="4E9669A3"/>
    <w:rsid w:val="4EA34EA3"/>
    <w:rsid w:val="4F1813ED"/>
    <w:rsid w:val="4F2E6E63"/>
    <w:rsid w:val="4F5B752C"/>
    <w:rsid w:val="503E4E84"/>
    <w:rsid w:val="506B7C43"/>
    <w:rsid w:val="508825A3"/>
    <w:rsid w:val="50C47DD0"/>
    <w:rsid w:val="50E83041"/>
    <w:rsid w:val="50EF43CF"/>
    <w:rsid w:val="51375EB3"/>
    <w:rsid w:val="51667545"/>
    <w:rsid w:val="516C77CE"/>
    <w:rsid w:val="51BD627C"/>
    <w:rsid w:val="51CB6BEB"/>
    <w:rsid w:val="51E1640E"/>
    <w:rsid w:val="528F19C6"/>
    <w:rsid w:val="52976ACD"/>
    <w:rsid w:val="52CA50F4"/>
    <w:rsid w:val="52F21F55"/>
    <w:rsid w:val="534213CB"/>
    <w:rsid w:val="534722A1"/>
    <w:rsid w:val="534A4B93"/>
    <w:rsid w:val="534D53DE"/>
    <w:rsid w:val="535449BE"/>
    <w:rsid w:val="536015B5"/>
    <w:rsid w:val="536A2433"/>
    <w:rsid w:val="539D45C4"/>
    <w:rsid w:val="539F20DD"/>
    <w:rsid w:val="546E385E"/>
    <w:rsid w:val="54752E3E"/>
    <w:rsid w:val="5495703C"/>
    <w:rsid w:val="54CE6A47"/>
    <w:rsid w:val="54D20290"/>
    <w:rsid w:val="55191A1B"/>
    <w:rsid w:val="55216B22"/>
    <w:rsid w:val="55985036"/>
    <w:rsid w:val="559D089E"/>
    <w:rsid w:val="55A25EB5"/>
    <w:rsid w:val="562B5EAA"/>
    <w:rsid w:val="565847C5"/>
    <w:rsid w:val="567E58E1"/>
    <w:rsid w:val="56A33ED3"/>
    <w:rsid w:val="56DA167E"/>
    <w:rsid w:val="56DC53F6"/>
    <w:rsid w:val="573E7E5F"/>
    <w:rsid w:val="587C0C3F"/>
    <w:rsid w:val="588C69A8"/>
    <w:rsid w:val="58FA7AA8"/>
    <w:rsid w:val="590E560F"/>
    <w:rsid w:val="59221BB5"/>
    <w:rsid w:val="592310BA"/>
    <w:rsid w:val="59344A9E"/>
    <w:rsid w:val="59417793"/>
    <w:rsid w:val="59701E26"/>
    <w:rsid w:val="59745DBA"/>
    <w:rsid w:val="59AF6DF2"/>
    <w:rsid w:val="59C45E22"/>
    <w:rsid w:val="59CF4D9E"/>
    <w:rsid w:val="59D41851"/>
    <w:rsid w:val="5A3D43FE"/>
    <w:rsid w:val="5A3F4333"/>
    <w:rsid w:val="5AB02E22"/>
    <w:rsid w:val="5AB3646E"/>
    <w:rsid w:val="5AC4067B"/>
    <w:rsid w:val="5AD570E4"/>
    <w:rsid w:val="5AD72634"/>
    <w:rsid w:val="5AFC6067"/>
    <w:rsid w:val="5B4041A6"/>
    <w:rsid w:val="5B442CC3"/>
    <w:rsid w:val="5B461090"/>
    <w:rsid w:val="5B631C42"/>
    <w:rsid w:val="5BC22E0D"/>
    <w:rsid w:val="5C166CB5"/>
    <w:rsid w:val="5C1D44E7"/>
    <w:rsid w:val="5C3435DF"/>
    <w:rsid w:val="5C433822"/>
    <w:rsid w:val="5C763BF7"/>
    <w:rsid w:val="5C7B745F"/>
    <w:rsid w:val="5CE648D9"/>
    <w:rsid w:val="5D02548B"/>
    <w:rsid w:val="5D475B2E"/>
    <w:rsid w:val="5D9205BD"/>
    <w:rsid w:val="5DA54794"/>
    <w:rsid w:val="5DB04EE7"/>
    <w:rsid w:val="5DDD6818"/>
    <w:rsid w:val="5E2F0501"/>
    <w:rsid w:val="5E9F5687"/>
    <w:rsid w:val="5EB6477F"/>
    <w:rsid w:val="5EE3728C"/>
    <w:rsid w:val="5EEB267A"/>
    <w:rsid w:val="5FE570CA"/>
    <w:rsid w:val="60277D85"/>
    <w:rsid w:val="6045400C"/>
    <w:rsid w:val="606C66C9"/>
    <w:rsid w:val="60AF76D8"/>
    <w:rsid w:val="61112140"/>
    <w:rsid w:val="61153BF7"/>
    <w:rsid w:val="6198016C"/>
    <w:rsid w:val="61982CDF"/>
    <w:rsid w:val="61D61674"/>
    <w:rsid w:val="61FE0917"/>
    <w:rsid w:val="62127F1E"/>
    <w:rsid w:val="62147627"/>
    <w:rsid w:val="6299419B"/>
    <w:rsid w:val="62B4260C"/>
    <w:rsid w:val="62BE3C02"/>
    <w:rsid w:val="62D13935"/>
    <w:rsid w:val="6361115D"/>
    <w:rsid w:val="637864A7"/>
    <w:rsid w:val="63AD43A2"/>
    <w:rsid w:val="63BF7C32"/>
    <w:rsid w:val="63CF256B"/>
    <w:rsid w:val="63FA3360"/>
    <w:rsid w:val="642B52C7"/>
    <w:rsid w:val="643B7C00"/>
    <w:rsid w:val="646A5FF4"/>
    <w:rsid w:val="64970BAF"/>
    <w:rsid w:val="64B61B71"/>
    <w:rsid w:val="65183A9D"/>
    <w:rsid w:val="652A37D1"/>
    <w:rsid w:val="659D0447"/>
    <w:rsid w:val="66101085"/>
    <w:rsid w:val="663A7A43"/>
    <w:rsid w:val="664803B2"/>
    <w:rsid w:val="66560D21"/>
    <w:rsid w:val="66B6356E"/>
    <w:rsid w:val="66E76C69"/>
    <w:rsid w:val="66F67E0E"/>
    <w:rsid w:val="66F9345B"/>
    <w:rsid w:val="675F3C06"/>
    <w:rsid w:val="67917B37"/>
    <w:rsid w:val="67A61834"/>
    <w:rsid w:val="67F74DD5"/>
    <w:rsid w:val="6828049B"/>
    <w:rsid w:val="68531405"/>
    <w:rsid w:val="68833924"/>
    <w:rsid w:val="6894168D"/>
    <w:rsid w:val="68B85643"/>
    <w:rsid w:val="691858EE"/>
    <w:rsid w:val="693C5C0C"/>
    <w:rsid w:val="69B144C0"/>
    <w:rsid w:val="69F06D97"/>
    <w:rsid w:val="6A6E4160"/>
    <w:rsid w:val="6AF66E98"/>
    <w:rsid w:val="6B0074AE"/>
    <w:rsid w:val="6B511AB7"/>
    <w:rsid w:val="6B8C6F93"/>
    <w:rsid w:val="6BBB5183"/>
    <w:rsid w:val="6C022DB1"/>
    <w:rsid w:val="6C054650"/>
    <w:rsid w:val="6C2372B9"/>
    <w:rsid w:val="6C3D64DF"/>
    <w:rsid w:val="6C8934D3"/>
    <w:rsid w:val="6CB1445E"/>
    <w:rsid w:val="6CD40BF2"/>
    <w:rsid w:val="6CFA617E"/>
    <w:rsid w:val="6D1A237D"/>
    <w:rsid w:val="6D2A25C0"/>
    <w:rsid w:val="6D657A9C"/>
    <w:rsid w:val="6DD9025F"/>
    <w:rsid w:val="6DE636AC"/>
    <w:rsid w:val="6DF57072"/>
    <w:rsid w:val="6E0B0643"/>
    <w:rsid w:val="6EE97F75"/>
    <w:rsid w:val="6EF530A1"/>
    <w:rsid w:val="6F4B0ADE"/>
    <w:rsid w:val="6FAD1286"/>
    <w:rsid w:val="6FFA02E8"/>
    <w:rsid w:val="700D7F77"/>
    <w:rsid w:val="706202C3"/>
    <w:rsid w:val="708B3197"/>
    <w:rsid w:val="70C40F7D"/>
    <w:rsid w:val="70CD7E32"/>
    <w:rsid w:val="70D72A5F"/>
    <w:rsid w:val="70DE20D9"/>
    <w:rsid w:val="71285068"/>
    <w:rsid w:val="712C0E3C"/>
    <w:rsid w:val="71687B5B"/>
    <w:rsid w:val="71AF12E6"/>
    <w:rsid w:val="720C6738"/>
    <w:rsid w:val="72C2773E"/>
    <w:rsid w:val="72EB1CC3"/>
    <w:rsid w:val="73222DE7"/>
    <w:rsid w:val="736E1A0A"/>
    <w:rsid w:val="73B01345"/>
    <w:rsid w:val="74546174"/>
    <w:rsid w:val="745B5755"/>
    <w:rsid w:val="74F6722B"/>
    <w:rsid w:val="753A35BC"/>
    <w:rsid w:val="754461E9"/>
    <w:rsid w:val="754E7067"/>
    <w:rsid w:val="75D51537"/>
    <w:rsid w:val="75EF43A6"/>
    <w:rsid w:val="75F96FD3"/>
    <w:rsid w:val="762D1373"/>
    <w:rsid w:val="767D7C04"/>
    <w:rsid w:val="768C6099"/>
    <w:rsid w:val="769F401E"/>
    <w:rsid w:val="76B61368"/>
    <w:rsid w:val="76C21ABB"/>
    <w:rsid w:val="77161E07"/>
    <w:rsid w:val="77404F00"/>
    <w:rsid w:val="779C230C"/>
    <w:rsid w:val="77AD4519"/>
    <w:rsid w:val="780305DD"/>
    <w:rsid w:val="78112CFA"/>
    <w:rsid w:val="78886D34"/>
    <w:rsid w:val="78941235"/>
    <w:rsid w:val="78AD0549"/>
    <w:rsid w:val="78C064CE"/>
    <w:rsid w:val="78DE0702"/>
    <w:rsid w:val="78FD6DDA"/>
    <w:rsid w:val="791505C8"/>
    <w:rsid w:val="795C61F7"/>
    <w:rsid w:val="79B871A5"/>
    <w:rsid w:val="7A82542A"/>
    <w:rsid w:val="7A94551C"/>
    <w:rsid w:val="7AB26D78"/>
    <w:rsid w:val="7AC154FB"/>
    <w:rsid w:val="7AC2652D"/>
    <w:rsid w:val="7AEC5358"/>
    <w:rsid w:val="7AFF272A"/>
    <w:rsid w:val="7B2014A6"/>
    <w:rsid w:val="7B8053BB"/>
    <w:rsid w:val="7B8C2698"/>
    <w:rsid w:val="7BE6624C"/>
    <w:rsid w:val="7BF2699E"/>
    <w:rsid w:val="7C63164A"/>
    <w:rsid w:val="7C6F5DDA"/>
    <w:rsid w:val="7CB023B6"/>
    <w:rsid w:val="7D5B4A17"/>
    <w:rsid w:val="7D8F2E65"/>
    <w:rsid w:val="7E094BEE"/>
    <w:rsid w:val="7E154BC6"/>
    <w:rsid w:val="7E1F5A45"/>
    <w:rsid w:val="7E722019"/>
    <w:rsid w:val="7E747B3F"/>
    <w:rsid w:val="7F121106"/>
    <w:rsid w:val="7F182BC0"/>
    <w:rsid w:val="7F1A6186"/>
    <w:rsid w:val="7F726386"/>
    <w:rsid w:val="7FA501CC"/>
    <w:rsid w:val="7FF07699"/>
    <w:rsid w:val="7FFF1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semiHidden/>
    <w:unhideWhenUsed/>
    <w:qFormat/>
    <w:uiPriority w:val="39"/>
    <w:pPr>
      <w:ind w:left="840" w:leftChars="400"/>
    </w:p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jc w:val="center"/>
    </w:pPr>
    <w:rPr>
      <w:sz w:val="18"/>
      <w:szCs w:val="18"/>
    </w:rPr>
  </w:style>
  <w:style w:type="paragraph" w:styleId="6">
    <w:name w:val="toc 1"/>
    <w:basedOn w:val="1"/>
    <w:next w:val="1"/>
    <w:unhideWhenUsed/>
    <w:qFormat/>
    <w:uiPriority w:val="39"/>
  </w:style>
  <w:style w:type="paragraph" w:styleId="7">
    <w:name w:val="toc 2"/>
    <w:basedOn w:val="1"/>
    <w:next w:val="1"/>
    <w:unhideWhenUsed/>
    <w:qFormat/>
    <w:uiPriority w:val="39"/>
    <w:pPr>
      <w:ind w:left="420" w:leftChars="200"/>
    </w:pPr>
  </w:style>
  <w:style w:type="character" w:styleId="10">
    <w:name w:val="Hyperlink"/>
    <w:basedOn w:val="9"/>
    <w:qFormat/>
    <w:uiPriority w:val="0"/>
    <w:rPr>
      <w:color w:val="0000FF"/>
      <w:u w:val="single"/>
    </w:rPr>
  </w:style>
  <w:style w:type="table" w:customStyle="1" w:styleId="11">
    <w:name w:val="Table Normal_0"/>
    <w:semiHidden/>
    <w:unhideWhenUsed/>
    <w:qFormat/>
    <w:uiPriority w:val="0"/>
    <w:tblPr>
      <w:tblCellMar>
        <w:top w:w="0" w:type="dxa"/>
        <w:left w:w="0" w:type="dxa"/>
        <w:bottom w:w="0" w:type="dxa"/>
        <w:right w:w="0" w:type="dxa"/>
      </w:tblCellMar>
    </w:tblPr>
  </w:style>
  <w:style w:type="character" w:customStyle="1" w:styleId="12">
    <w:name w:val="批注框文本 Char"/>
    <w:basedOn w:val="9"/>
    <w:link w:val="3"/>
    <w:semiHidden/>
    <w:qFormat/>
    <w:uiPriority w:val="99"/>
    <w:rPr>
      <w:sz w:val="18"/>
      <w:szCs w:val="18"/>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F1E4FC-EA8B-496C-A586-46AFC164F03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5432</Words>
  <Characters>6349</Characters>
  <Lines>26</Lines>
  <Paragraphs>7</Paragraphs>
  <TotalTime>146</TotalTime>
  <ScaleCrop>false</ScaleCrop>
  <LinksUpToDate>false</LinksUpToDate>
  <CharactersWithSpaces>6572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2023-01-30T15:53:00Z</dcterms:created>
  <dc:creator>和家慧</dc:creator>
  <cp:lastModifiedBy>九月</cp:lastModifiedBy>
  <dcterms:modified xsi:type="dcterms:W3CDTF">2023-05-16T09:15:52Z</dcterms:modified>
  <dc:title>附件：2021年度政府部门财务报告样式</dc:title>
  <cp:revision>278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2023-04-04T09:25:50Z</vt:filetime>
  </property>
  <property fmtid="{D5CDD505-2E9C-101B-9397-08002B2CF9AE}" pid="3" name="CRO">
    <vt:lpwstr>wqlLaW5nc29mdCBQREYgdG8gV1BTIDgw</vt:lpwstr>
  </property>
  <property fmtid="{D5CDD505-2E9C-101B-9397-08002B2CF9AE}" pid="4" name="ICV">
    <vt:lpwstr>DF40F879F1984819B408FD755C05BAE5_13</vt:lpwstr>
  </property>
  <property fmtid="{D5CDD505-2E9C-101B-9397-08002B2CF9AE}" pid="5" name="KSOProductBuildVer">
    <vt:lpwstr>2052-11.1.0.14309</vt:lpwstr>
  </property>
</Properties>
</file>