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2080" w:firstLineChars="400"/>
        <w:jc w:val="both"/>
        <w:rPr>
          <w:rFonts w:hint="eastAsia"/>
          <w:sz w:val="52"/>
          <w:szCs w:val="52"/>
          <w:lang w:eastAsia="zh-CN"/>
        </w:rPr>
      </w:pPr>
      <w:r>
        <w:rPr>
          <w:rFonts w:hint="eastAsia"/>
          <w:sz w:val="52"/>
          <w:szCs w:val="52"/>
        </w:rPr>
        <w:t>2020年度</w:t>
      </w:r>
      <w:r>
        <w:rPr>
          <w:rFonts w:hint="eastAsia"/>
          <w:sz w:val="52"/>
          <w:szCs w:val="52"/>
          <w:lang w:eastAsia="zh-CN"/>
        </w:rPr>
        <w:t>古丈县综合职业技术学校</w:t>
      </w:r>
    </w:p>
    <w:p>
      <w:pPr>
        <w:pStyle w:val="11"/>
        <w:jc w:val="center"/>
        <w:rPr>
          <w:sz w:val="52"/>
          <w:szCs w:val="52"/>
        </w:rPr>
      </w:pPr>
      <w:r>
        <w:rPr>
          <w:rFonts w:hint="eastAsia"/>
          <w:sz w:val="52"/>
          <w:szCs w:val="52"/>
        </w:rPr>
        <w:t>部门决算</w:t>
      </w:r>
      <w:r>
        <w:rPr>
          <w:rFonts w:hint="eastAsia"/>
          <w:sz w:val="52"/>
          <w:szCs w:val="52"/>
          <w:lang w:eastAsia="zh-CN"/>
        </w:rPr>
        <w:t>公开</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hint="eastAsia" w:ascii="仿宋_GB2312" w:hAnsi="仿宋_GB2312" w:eastAsia="黑体" w:cs="仿宋_GB2312"/>
          <w:b/>
          <w:sz w:val="28"/>
          <w:szCs w:val="28"/>
          <w:lang w:eastAsia="zh-CN"/>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lang w:eastAsia="zh-CN"/>
        </w:rPr>
        <w:t>十、</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hint="eastAsia" w:ascii="仿宋_GB2312" w:hAnsi="仿宋_GB2312" w:cs="仿宋_GB2312"/>
          <w:color w:val="000000"/>
          <w:kern w:val="0"/>
          <w:sz w:val="28"/>
          <w:szCs w:val="28"/>
          <w:lang w:eastAsia="zh-CN"/>
        </w:rPr>
        <w:t>一</w:t>
      </w:r>
      <w:r>
        <w:rPr>
          <w:rFonts w:hint="eastAsia" w:ascii="仿宋_GB2312" w:hAnsi="仿宋_GB2312" w:cs="仿宋_GB2312"/>
          <w:color w:val="000000"/>
          <w:kern w:val="0"/>
          <w:sz w:val="28"/>
          <w:szCs w:val="28"/>
        </w:rPr>
        <w:t>、一般性支出情况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hint="eastAsia" w:ascii="仿宋_GB2312" w:hAnsi="仿宋_GB2312" w:cs="仿宋_GB2312"/>
          <w:color w:val="000000"/>
          <w:kern w:val="0"/>
          <w:sz w:val="28"/>
          <w:szCs w:val="28"/>
          <w:lang w:eastAsia="zh-CN"/>
        </w:rPr>
        <w:t>二</w:t>
      </w:r>
      <w:r>
        <w:rPr>
          <w:rFonts w:hint="eastAsia" w:ascii="仿宋_GB2312" w:hAnsi="仿宋_GB2312" w:cs="仿宋_GB2312"/>
          <w:color w:val="000000"/>
          <w:kern w:val="0"/>
          <w:sz w:val="28"/>
          <w:szCs w:val="28"/>
        </w:rPr>
        <w:t>、关于政府采购支出说明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w:t>
      </w:r>
      <w:r>
        <w:rPr>
          <w:rFonts w:hint="eastAsia" w:ascii="仿宋_GB2312" w:hAnsi="仿宋_GB2312" w:cs="仿宋_GB2312" w:eastAsiaTheme="minorEastAsia"/>
          <w:sz w:val="28"/>
          <w:szCs w:val="28"/>
          <w:lang w:eastAsia="zh-CN"/>
        </w:rPr>
        <w:t>三</w:t>
      </w:r>
      <w:r>
        <w:rPr>
          <w:rFonts w:hint="eastAsia" w:ascii="仿宋_GB2312" w:hAnsi="仿宋_GB2312" w:cs="仿宋_GB2312" w:eastAsiaTheme="minorEastAsia"/>
          <w:sz w:val="28"/>
          <w:szCs w:val="28"/>
        </w:rPr>
        <w:t>、关于国有资产占用情况说明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w:t>
      </w:r>
      <w:r>
        <w:rPr>
          <w:rFonts w:hint="eastAsia" w:ascii="仿宋_GB2312" w:hAnsi="仿宋_GB2312" w:cs="仿宋_GB2312" w:eastAsiaTheme="minorEastAsia"/>
          <w:sz w:val="28"/>
          <w:szCs w:val="28"/>
          <w:lang w:eastAsia="zh-CN"/>
        </w:rPr>
        <w:t>四</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pStyle w:val="11"/>
        <w:ind w:firstLine="2080" w:firstLineChars="400"/>
        <w:jc w:val="center"/>
        <w:rPr>
          <w:rFonts w:hint="eastAsia"/>
          <w:sz w:val="52"/>
          <w:szCs w:val="52"/>
        </w:rPr>
      </w:pPr>
    </w:p>
    <w:p>
      <w:pPr>
        <w:pStyle w:val="11"/>
        <w:ind w:firstLine="3640" w:firstLineChars="700"/>
        <w:jc w:val="both"/>
        <w:rPr>
          <w:sz w:val="52"/>
          <w:szCs w:val="52"/>
        </w:rPr>
      </w:pPr>
      <w:r>
        <w:rPr>
          <w:rFonts w:hint="eastAsia"/>
          <w:sz w:val="52"/>
          <w:szCs w:val="52"/>
        </w:rPr>
        <w:t>第一部分</w:t>
      </w:r>
    </w:p>
    <w:p>
      <w:pPr>
        <w:pStyle w:val="11"/>
        <w:ind w:firstLine="2080" w:firstLineChars="400"/>
        <w:jc w:val="both"/>
        <w:rPr>
          <w:rFonts w:ascii="黑体" w:hAnsi="黑体" w:eastAsia="黑体"/>
          <w:sz w:val="32"/>
          <w:szCs w:val="32"/>
        </w:rPr>
      </w:pPr>
      <w:r>
        <w:rPr>
          <w:rFonts w:hint="eastAsia"/>
          <w:sz w:val="52"/>
          <w:szCs w:val="52"/>
          <w:lang w:eastAsia="zh-CN"/>
        </w:rPr>
        <w:t>古丈县综合职业技术学校</w:t>
      </w:r>
      <w:r>
        <w:rPr>
          <w:rFonts w:hint="eastAsia"/>
          <w:sz w:val="52"/>
          <w:szCs w:val="52"/>
        </w:rPr>
        <w:t>概况</w:t>
      </w:r>
    </w:p>
    <w:p>
      <w:pPr>
        <w:widowControl/>
        <w:shd w:val="clear" w:color="auto" w:fill="FDFEFE"/>
        <w:spacing w:line="450" w:lineRule="atLeast"/>
        <w:ind w:firstLine="640"/>
        <w:jc w:val="left"/>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古丈职校全额拨款参公管理事业单位，执行事业会计制度。古丈职校共有教师38人，实有在职人员38人，退休人员12人.</w:t>
      </w:r>
    </w:p>
    <w:p>
      <w:pPr>
        <w:pStyle w:val="11"/>
        <w:rPr>
          <w:rFonts w:hint="eastAsia" w:hAnsi="黑体"/>
          <w:b/>
          <w:sz w:val="32"/>
          <w:szCs w:val="32"/>
        </w:rPr>
      </w:pPr>
      <w:r>
        <w:rPr>
          <w:rFonts w:hint="eastAsia" w:hAnsi="黑体"/>
          <w:b/>
          <w:sz w:val="32"/>
          <w:szCs w:val="32"/>
        </w:rPr>
        <w:t>一、部门基本职能</w:t>
      </w:r>
    </w:p>
    <w:p>
      <w:pPr>
        <w:widowControl/>
        <w:shd w:val="clear" w:color="auto" w:fill="FDFEFE"/>
        <w:spacing w:line="450" w:lineRule="atLeast"/>
        <w:ind w:firstLine="640"/>
        <w:jc w:val="left"/>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（一）制定符合党的教育方针和国家教育法律法规的教育发展规划和学校布局调整规划，并抓好组织实施和落实工作。</w:t>
      </w:r>
    </w:p>
    <w:p>
      <w:pPr>
        <w:widowControl/>
        <w:shd w:val="clear" w:color="auto" w:fill="FDFEFE"/>
        <w:spacing w:line="450" w:lineRule="atLeast"/>
        <w:ind w:firstLine="640"/>
        <w:jc w:val="left"/>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（二）贯彻、执行教育法律法规和政策规定，坚持依法治教、依法治学。</w:t>
      </w:r>
    </w:p>
    <w:p>
      <w:pPr>
        <w:widowControl/>
        <w:shd w:val="clear" w:color="auto" w:fill="FDFEFE"/>
        <w:spacing w:line="450" w:lineRule="atLeast"/>
        <w:ind w:firstLine="640"/>
        <w:jc w:val="left"/>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（三）负责教育教学管理及教研教改工作，全力推进素质教育实施。</w:t>
      </w:r>
    </w:p>
    <w:p>
      <w:pPr>
        <w:pStyle w:val="11"/>
        <w:rPr>
          <w:rFonts w:hint="eastAsia" w:hAnsi="黑体"/>
          <w:b/>
          <w:sz w:val="32"/>
          <w:szCs w:val="32"/>
          <w:lang w:val="en-US" w:eastAsia="zh-CN"/>
        </w:rPr>
      </w:pPr>
      <w:r>
        <w:rPr>
          <w:rFonts w:hint="eastAsia" w:hAnsi="黑体"/>
          <w:b/>
          <w:sz w:val="32"/>
          <w:szCs w:val="32"/>
        </w:rPr>
        <w:t>二、</w:t>
      </w:r>
      <w:r>
        <w:rPr>
          <w:rFonts w:hint="eastAsia" w:hAnsi="黑体"/>
          <w:b/>
          <w:sz w:val="32"/>
          <w:szCs w:val="32"/>
          <w:lang w:val="en-US" w:eastAsia="zh-CN"/>
        </w:rPr>
        <w:t>机构设置及决算单位构成</w:t>
      </w:r>
    </w:p>
    <w:p>
      <w:pPr>
        <w:widowControl/>
        <w:shd w:val="clear" w:color="auto" w:fill="FDFEFE"/>
        <w:spacing w:line="450" w:lineRule="atLeast"/>
        <w:ind w:firstLine="640"/>
        <w:jc w:val="left"/>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（一）内设机构设置。 古丈职校内设4个职能科室：办公室、教导处、教科室、总务处。法人独立，编制独立，独立核算。</w:t>
      </w:r>
    </w:p>
    <w:p>
      <w:pPr>
        <w:widowControl/>
        <w:shd w:val="clear" w:color="auto" w:fill="FDFEFE"/>
        <w:spacing w:line="450" w:lineRule="atLeast"/>
        <w:ind w:firstLine="640"/>
        <w:jc w:val="left"/>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（二）决算单位构成。古丈县综合职业技术学校2020年部门决算公开单位构成包括：古丈县综合职业技术学校。</w:t>
      </w:r>
    </w:p>
    <w:p>
      <w:pPr>
        <w:widowControl/>
        <w:shd w:val="clear" w:color="auto" w:fill="FDFEFE"/>
        <w:spacing w:line="450" w:lineRule="atLeast"/>
        <w:ind w:firstLine="640"/>
        <w:jc w:val="left"/>
        <w:rPr>
          <w:rFonts w:hint="default"/>
          <w:color w:val="333333"/>
          <w:szCs w:val="21"/>
          <w:lang w:val="en-US"/>
        </w:rPr>
      </w:pPr>
    </w:p>
    <w:p>
      <w:pPr>
        <w:jc w:val="left"/>
        <w:rPr>
          <w:rFonts w:ascii="仿宋_GB2312" w:eastAsia="仿宋_GB2312" w:hAnsiTheme="minorEastAsia"/>
          <w:sz w:val="28"/>
          <w:szCs w:val="32"/>
        </w:rPr>
      </w:pPr>
    </w:p>
    <w:p>
      <w:pPr>
        <w:pStyle w:val="11"/>
        <w:ind w:firstLine="4160" w:firstLineChars="800"/>
        <w:jc w:val="both"/>
        <w:rPr>
          <w:rFonts w:hint="eastAsia"/>
          <w:sz w:val="52"/>
          <w:szCs w:val="52"/>
        </w:rPr>
      </w:pPr>
      <w:r>
        <w:rPr>
          <w:rFonts w:hint="eastAsia"/>
          <w:sz w:val="52"/>
          <w:szCs w:val="52"/>
        </w:rPr>
        <w:t>第二部分</w:t>
      </w:r>
    </w:p>
    <w:p>
      <w:pPr>
        <w:pStyle w:val="11"/>
        <w:ind w:firstLine="2600" w:firstLineChars="500"/>
        <w:jc w:val="both"/>
        <w:rPr>
          <w:rFonts w:hint="eastAsia"/>
          <w:sz w:val="52"/>
          <w:szCs w:val="52"/>
        </w:rPr>
      </w:pPr>
      <w:r>
        <w:rPr>
          <w:rFonts w:hint="eastAsia"/>
          <w:sz w:val="52"/>
          <w:szCs w:val="52"/>
        </w:rPr>
        <w:t>部门决算表</w:t>
      </w:r>
      <w:r>
        <w:rPr>
          <w:rFonts w:hint="eastAsia"/>
          <w:sz w:val="52"/>
          <w:szCs w:val="52"/>
          <w:lang w:eastAsia="zh-CN"/>
        </w:rPr>
        <w:t>（见附件）</w:t>
      </w:r>
    </w:p>
    <w:p>
      <w:pPr>
        <w:pStyle w:val="11"/>
        <w:ind w:firstLine="4160" w:firstLineChars="800"/>
        <w:jc w:val="both"/>
        <w:rPr>
          <w:rFonts w:hint="eastAsia"/>
          <w:sz w:val="52"/>
          <w:szCs w:val="52"/>
        </w:rPr>
      </w:pPr>
      <w:r>
        <w:rPr>
          <w:rFonts w:hint="eastAsia"/>
          <w:sz w:val="52"/>
          <w:szCs w:val="52"/>
        </w:rPr>
        <w:t>第三部分</w:t>
      </w:r>
    </w:p>
    <w:p>
      <w:pPr>
        <w:pStyle w:val="11"/>
        <w:ind w:firstLine="2080" w:firstLineChars="400"/>
        <w:jc w:val="both"/>
        <w:rPr>
          <w:rFonts w:hint="eastAsia"/>
          <w:sz w:val="52"/>
          <w:szCs w:val="52"/>
        </w:rPr>
      </w:pPr>
      <w:r>
        <w:rPr>
          <w:rFonts w:hint="eastAsia"/>
          <w:sz w:val="52"/>
          <w:szCs w:val="52"/>
        </w:rPr>
        <w:t>2020年度部门决算情况说明</w:t>
      </w:r>
    </w:p>
    <w:p>
      <w:pPr>
        <w:pStyle w:val="11"/>
        <w:rPr>
          <w:rFonts w:hAnsi="黑体"/>
          <w:b/>
          <w:sz w:val="32"/>
          <w:szCs w:val="32"/>
        </w:rPr>
      </w:pPr>
      <w:r>
        <w:rPr>
          <w:rFonts w:hint="eastAsia" w:hAnsi="黑体"/>
          <w:b/>
          <w:sz w:val="32"/>
          <w:szCs w:val="32"/>
        </w:rPr>
        <w:t>一、收入支出决算总体情况说明</w:t>
      </w:r>
    </w:p>
    <w:p>
      <w:pPr>
        <w:ind w:firstLine="560" w:firstLineChars="200"/>
        <w:rPr>
          <w:rFonts w:hint="eastAsia" w:ascii="宋体" w:hAnsi="宋体" w:cs="Arial"/>
          <w:color w:val="000000"/>
          <w:sz w:val="28"/>
          <w:szCs w:val="28"/>
        </w:rPr>
      </w:pPr>
      <w:r>
        <w:rPr>
          <w:rFonts w:hint="eastAsia"/>
          <w:sz w:val="28"/>
          <w:szCs w:val="28"/>
          <w:lang w:eastAsia="zh-CN"/>
        </w:rPr>
        <w:t>2020</w:t>
      </w:r>
      <w:r>
        <w:rPr>
          <w:rFonts w:hint="eastAsia"/>
          <w:sz w:val="28"/>
          <w:szCs w:val="28"/>
        </w:rPr>
        <w:t>年</w:t>
      </w:r>
      <w:r>
        <w:rPr>
          <w:rFonts w:hint="eastAsia" w:cs="Arial"/>
          <w:color w:val="000000"/>
          <w:sz w:val="28"/>
          <w:szCs w:val="28"/>
        </w:rPr>
        <w:t>古丈县</w:t>
      </w:r>
      <w:r>
        <w:rPr>
          <w:rFonts w:hint="eastAsia" w:cs="Arial"/>
          <w:color w:val="000000"/>
          <w:sz w:val="28"/>
          <w:szCs w:val="28"/>
          <w:lang w:eastAsia="zh-CN"/>
        </w:rPr>
        <w:t>古丈职校</w:t>
      </w:r>
      <w:r>
        <w:rPr>
          <w:rFonts w:hint="eastAsia"/>
          <w:sz w:val="28"/>
          <w:szCs w:val="28"/>
        </w:rPr>
        <w:t>收入决算总计</w:t>
      </w:r>
      <w:r>
        <w:rPr>
          <w:rFonts w:hint="eastAsia"/>
          <w:sz w:val="28"/>
          <w:szCs w:val="28"/>
          <w:lang w:val="en-US" w:eastAsia="zh-CN"/>
        </w:rPr>
        <w:t>1174.32</w:t>
      </w:r>
      <w:r>
        <w:rPr>
          <w:rFonts w:hint="eastAsia"/>
          <w:sz w:val="28"/>
          <w:szCs w:val="28"/>
        </w:rPr>
        <w:t>万元，支出总计</w:t>
      </w:r>
      <w:r>
        <w:rPr>
          <w:rFonts w:hint="eastAsia"/>
          <w:sz w:val="28"/>
          <w:szCs w:val="28"/>
          <w:lang w:val="en-US" w:eastAsia="zh-CN"/>
        </w:rPr>
        <w:t>894.6</w:t>
      </w:r>
      <w:r>
        <w:rPr>
          <w:rFonts w:hint="eastAsia"/>
          <w:sz w:val="28"/>
          <w:szCs w:val="28"/>
        </w:rPr>
        <w:t>万元，与201</w:t>
      </w:r>
      <w:r>
        <w:rPr>
          <w:rFonts w:hint="eastAsia"/>
          <w:sz w:val="28"/>
          <w:szCs w:val="28"/>
          <w:lang w:val="en-US" w:eastAsia="zh-CN"/>
        </w:rPr>
        <w:t>9</w:t>
      </w:r>
      <w:r>
        <w:rPr>
          <w:rFonts w:hint="eastAsia"/>
          <w:sz w:val="28"/>
          <w:szCs w:val="28"/>
        </w:rPr>
        <w:t>年度相比，收入</w:t>
      </w:r>
      <w:r>
        <w:rPr>
          <w:rFonts w:hint="eastAsia"/>
          <w:sz w:val="28"/>
          <w:szCs w:val="28"/>
          <w:lang w:val="en-US" w:eastAsia="zh-CN"/>
        </w:rPr>
        <w:t>减少4</w:t>
      </w:r>
      <w:r>
        <w:rPr>
          <w:rFonts w:hint="eastAsia"/>
          <w:sz w:val="28"/>
          <w:szCs w:val="28"/>
        </w:rPr>
        <w:t>万元，</w:t>
      </w:r>
      <w:r>
        <w:rPr>
          <w:rFonts w:hint="eastAsia"/>
          <w:sz w:val="28"/>
          <w:szCs w:val="28"/>
          <w:lang w:val="en-US" w:eastAsia="zh-CN"/>
        </w:rPr>
        <w:t>减少0.003</w:t>
      </w:r>
      <w:r>
        <w:rPr>
          <w:rFonts w:hint="eastAsia"/>
          <w:sz w:val="28"/>
          <w:szCs w:val="28"/>
        </w:rPr>
        <w:t>%。主要是</w:t>
      </w:r>
      <w:r>
        <w:rPr>
          <w:rFonts w:hint="eastAsia"/>
          <w:sz w:val="28"/>
          <w:szCs w:val="28"/>
          <w:lang w:eastAsia="zh-CN"/>
        </w:rPr>
        <w:t>学校项目建设减少</w:t>
      </w:r>
      <w:r>
        <w:rPr>
          <w:rFonts w:hint="eastAsia"/>
          <w:sz w:val="28"/>
          <w:szCs w:val="28"/>
        </w:rPr>
        <w:t>。</w:t>
      </w:r>
    </w:p>
    <w:p>
      <w:pPr>
        <w:pStyle w:val="11"/>
        <w:rPr>
          <w:rFonts w:hAnsi="黑体"/>
          <w:b/>
          <w:sz w:val="32"/>
          <w:szCs w:val="32"/>
        </w:rPr>
      </w:pPr>
      <w:r>
        <w:rPr>
          <w:rFonts w:hint="eastAsia" w:hAnsi="黑体"/>
          <w:b/>
          <w:sz w:val="32"/>
          <w:szCs w:val="32"/>
        </w:rPr>
        <w:t>二、收入决算情况说明</w:t>
      </w:r>
    </w:p>
    <w:p>
      <w:pPr>
        <w:pStyle w:val="6"/>
        <w:spacing w:before="0" w:beforeAutospacing="0" w:after="0" w:afterAutospacing="0" w:line="520" w:lineRule="exact"/>
        <w:ind w:firstLine="478" w:firstLineChars="171"/>
        <w:jc w:val="both"/>
        <w:rPr>
          <w:rFonts w:hint="default"/>
          <w:color w:val="333333"/>
          <w:sz w:val="28"/>
          <w:szCs w:val="28"/>
          <w:lang w:val="en-US" w:eastAsia="zh-CN"/>
        </w:rPr>
      </w:pPr>
      <w:r>
        <w:rPr>
          <w:rFonts w:hint="eastAsia" w:cs="Arial"/>
          <w:color w:val="000000"/>
          <w:sz w:val="28"/>
          <w:szCs w:val="28"/>
          <w:lang w:eastAsia="zh-CN"/>
        </w:rPr>
        <w:t>古丈职校</w:t>
      </w:r>
      <w:r>
        <w:rPr>
          <w:rFonts w:hint="eastAsia"/>
          <w:color w:val="333333"/>
          <w:sz w:val="28"/>
          <w:szCs w:val="28"/>
          <w:lang w:eastAsia="zh-CN"/>
        </w:rPr>
        <w:t>2020</w:t>
      </w:r>
      <w:r>
        <w:rPr>
          <w:rFonts w:hint="eastAsia"/>
          <w:color w:val="333333"/>
          <w:sz w:val="28"/>
          <w:szCs w:val="28"/>
        </w:rPr>
        <w:t>年度收入合计</w:t>
      </w:r>
      <w:r>
        <w:rPr>
          <w:rFonts w:hint="eastAsia"/>
          <w:color w:val="333333"/>
          <w:sz w:val="28"/>
          <w:szCs w:val="28"/>
          <w:lang w:val="en-US" w:eastAsia="zh-CN"/>
        </w:rPr>
        <w:t>1174.32</w:t>
      </w:r>
      <w:r>
        <w:rPr>
          <w:rFonts w:hint="eastAsia"/>
          <w:color w:val="333333"/>
          <w:sz w:val="28"/>
          <w:szCs w:val="28"/>
        </w:rPr>
        <w:t>万元，其中财政拨款收入</w:t>
      </w:r>
      <w:r>
        <w:rPr>
          <w:rFonts w:hint="eastAsia"/>
          <w:color w:val="333333"/>
          <w:sz w:val="28"/>
          <w:szCs w:val="28"/>
          <w:lang w:val="en-US" w:eastAsia="zh-CN"/>
        </w:rPr>
        <w:t>1116.35</w:t>
      </w:r>
      <w:r>
        <w:rPr>
          <w:rFonts w:hint="eastAsia"/>
          <w:color w:val="333333"/>
          <w:sz w:val="28"/>
          <w:szCs w:val="28"/>
        </w:rPr>
        <w:t>万元，占</w:t>
      </w:r>
      <w:r>
        <w:rPr>
          <w:rFonts w:hint="eastAsia"/>
          <w:color w:val="333333"/>
          <w:sz w:val="28"/>
          <w:szCs w:val="28"/>
          <w:lang w:val="en-US" w:eastAsia="zh-CN"/>
        </w:rPr>
        <w:t>95</w:t>
      </w:r>
      <w:r>
        <w:rPr>
          <w:rFonts w:hint="eastAsia"/>
          <w:color w:val="333333"/>
          <w:sz w:val="28"/>
          <w:szCs w:val="28"/>
        </w:rPr>
        <w:t>%，</w:t>
      </w:r>
      <w:r>
        <w:rPr>
          <w:rFonts w:hint="eastAsia"/>
          <w:color w:val="333333"/>
          <w:sz w:val="28"/>
          <w:szCs w:val="28"/>
          <w:lang w:val="en-US" w:eastAsia="zh-CN"/>
        </w:rPr>
        <w:t>事业收入49.76万元，占4%。</w:t>
      </w:r>
      <w:r>
        <w:rPr>
          <w:rFonts w:hint="eastAsia"/>
          <w:color w:val="333333"/>
          <w:sz w:val="28"/>
          <w:szCs w:val="28"/>
        </w:rPr>
        <w:t>其他收</w:t>
      </w:r>
      <w:r>
        <w:rPr>
          <w:rFonts w:hint="eastAsia"/>
          <w:color w:val="333333"/>
          <w:sz w:val="28"/>
          <w:szCs w:val="28"/>
          <w:lang w:val="en-US" w:eastAsia="zh-CN"/>
        </w:rPr>
        <w:t>8.22</w:t>
      </w:r>
      <w:r>
        <w:rPr>
          <w:rFonts w:hint="eastAsia"/>
          <w:color w:val="333333"/>
          <w:sz w:val="28"/>
          <w:szCs w:val="28"/>
        </w:rPr>
        <w:t xml:space="preserve"> 万元，占</w:t>
      </w:r>
      <w:r>
        <w:rPr>
          <w:rFonts w:hint="eastAsia"/>
          <w:color w:val="333333"/>
          <w:sz w:val="28"/>
          <w:szCs w:val="28"/>
          <w:lang w:val="en-US" w:eastAsia="zh-CN"/>
        </w:rPr>
        <w:t>1</w:t>
      </w:r>
      <w:r>
        <w:rPr>
          <w:rFonts w:hint="eastAsia"/>
          <w:color w:val="333333"/>
          <w:sz w:val="28"/>
          <w:szCs w:val="28"/>
        </w:rPr>
        <w:t>%。年初结转结余</w:t>
      </w:r>
      <w:r>
        <w:rPr>
          <w:rFonts w:hint="eastAsia"/>
          <w:color w:val="333333"/>
          <w:sz w:val="28"/>
          <w:szCs w:val="28"/>
          <w:lang w:val="en-US" w:eastAsia="zh-CN"/>
        </w:rPr>
        <w:t>304.06</w:t>
      </w:r>
      <w:r>
        <w:rPr>
          <w:rFonts w:hint="eastAsia"/>
          <w:color w:val="333333"/>
          <w:sz w:val="28"/>
          <w:szCs w:val="28"/>
        </w:rPr>
        <w:t>万元，占</w:t>
      </w:r>
      <w:r>
        <w:rPr>
          <w:rFonts w:hint="eastAsia"/>
          <w:color w:val="333333"/>
          <w:sz w:val="28"/>
          <w:szCs w:val="28"/>
          <w:lang w:val="en-US" w:eastAsia="zh-CN"/>
        </w:rPr>
        <w:t>25%。</w:t>
      </w:r>
    </w:p>
    <w:p>
      <w:pPr>
        <w:pStyle w:val="11"/>
        <w:rPr>
          <w:rFonts w:hAnsi="黑体"/>
          <w:b/>
          <w:sz w:val="32"/>
          <w:szCs w:val="32"/>
        </w:rPr>
      </w:pPr>
      <w:r>
        <w:rPr>
          <w:rFonts w:hint="eastAsia" w:hAnsi="黑体"/>
          <w:b/>
          <w:sz w:val="32"/>
          <w:szCs w:val="32"/>
        </w:rPr>
        <w:t>三、支出决算情况说明</w:t>
      </w:r>
    </w:p>
    <w:p>
      <w:pPr>
        <w:pStyle w:val="6"/>
        <w:spacing w:before="0" w:beforeAutospacing="0" w:after="0" w:afterAutospacing="0" w:line="520" w:lineRule="exact"/>
        <w:ind w:firstLine="478" w:firstLineChars="171"/>
        <w:jc w:val="both"/>
        <w:rPr>
          <w:rFonts w:hint="eastAsia" w:eastAsia="宋体"/>
          <w:color w:val="333333"/>
          <w:sz w:val="28"/>
          <w:szCs w:val="28"/>
          <w:lang w:val="en-US" w:eastAsia="zh-CN"/>
        </w:rPr>
      </w:pPr>
      <w:r>
        <w:rPr>
          <w:rFonts w:hint="eastAsia" w:cs="Arial"/>
          <w:color w:val="000000"/>
          <w:sz w:val="28"/>
          <w:szCs w:val="28"/>
          <w:lang w:eastAsia="zh-CN"/>
        </w:rPr>
        <w:t>古丈职校</w:t>
      </w:r>
      <w:r>
        <w:rPr>
          <w:rFonts w:hint="eastAsia"/>
          <w:color w:val="333333"/>
          <w:sz w:val="28"/>
          <w:szCs w:val="28"/>
          <w:lang w:eastAsia="zh-CN"/>
        </w:rPr>
        <w:t>2020</w:t>
      </w:r>
      <w:r>
        <w:rPr>
          <w:rFonts w:hint="eastAsia"/>
          <w:color w:val="333333"/>
          <w:sz w:val="28"/>
          <w:szCs w:val="28"/>
        </w:rPr>
        <w:t>年度支出合计</w:t>
      </w:r>
      <w:r>
        <w:rPr>
          <w:rFonts w:hint="eastAsia"/>
          <w:color w:val="333333"/>
          <w:sz w:val="28"/>
          <w:szCs w:val="28"/>
          <w:lang w:val="en-US" w:eastAsia="zh-CN"/>
        </w:rPr>
        <w:t>894.6</w:t>
      </w:r>
      <w:r>
        <w:rPr>
          <w:rFonts w:hint="eastAsia"/>
          <w:color w:val="333333"/>
          <w:sz w:val="28"/>
          <w:szCs w:val="28"/>
        </w:rPr>
        <w:t>万元，其中基本支出</w:t>
      </w:r>
      <w:r>
        <w:rPr>
          <w:rFonts w:hint="eastAsia"/>
          <w:color w:val="333333"/>
          <w:sz w:val="28"/>
          <w:szCs w:val="28"/>
          <w:lang w:val="en-US" w:eastAsia="zh-CN"/>
        </w:rPr>
        <w:t>894.6</w:t>
      </w:r>
      <w:r>
        <w:rPr>
          <w:rFonts w:hint="eastAsia"/>
          <w:color w:val="333333"/>
          <w:sz w:val="28"/>
          <w:szCs w:val="28"/>
        </w:rPr>
        <w:t>万元，占</w:t>
      </w:r>
      <w:r>
        <w:rPr>
          <w:rFonts w:hint="eastAsia"/>
          <w:color w:val="333333"/>
          <w:sz w:val="28"/>
          <w:szCs w:val="28"/>
          <w:lang w:val="en-US" w:eastAsia="zh-CN"/>
        </w:rPr>
        <w:t>100</w:t>
      </w:r>
      <w:r>
        <w:rPr>
          <w:rFonts w:hint="eastAsia"/>
          <w:color w:val="333333"/>
          <w:sz w:val="28"/>
          <w:szCs w:val="28"/>
        </w:rPr>
        <w:t>%，</w:t>
      </w:r>
      <w:r>
        <w:rPr>
          <w:rFonts w:hint="eastAsia"/>
          <w:color w:val="333333"/>
          <w:sz w:val="28"/>
          <w:szCs w:val="28"/>
          <w:lang w:eastAsia="zh-CN"/>
        </w:rPr>
        <w:t>农林水</w:t>
      </w:r>
      <w:r>
        <w:rPr>
          <w:rFonts w:hint="eastAsia"/>
          <w:color w:val="333333"/>
          <w:sz w:val="28"/>
          <w:szCs w:val="28"/>
        </w:rPr>
        <w:t>支出</w:t>
      </w:r>
      <w:r>
        <w:rPr>
          <w:rFonts w:hint="eastAsia"/>
          <w:color w:val="333333"/>
          <w:sz w:val="28"/>
          <w:szCs w:val="28"/>
          <w:lang w:val="en-US" w:eastAsia="zh-CN"/>
        </w:rPr>
        <w:t>0</w:t>
      </w:r>
      <w:r>
        <w:rPr>
          <w:rFonts w:hint="eastAsia"/>
          <w:color w:val="333333"/>
          <w:sz w:val="28"/>
          <w:szCs w:val="28"/>
        </w:rPr>
        <w:t>万元，占</w:t>
      </w:r>
      <w:r>
        <w:rPr>
          <w:rFonts w:hint="eastAsia"/>
          <w:color w:val="333333"/>
          <w:sz w:val="28"/>
          <w:szCs w:val="28"/>
          <w:lang w:val="en-US" w:eastAsia="zh-CN"/>
        </w:rPr>
        <w:t>0%</w:t>
      </w:r>
      <w:r>
        <w:rPr>
          <w:rFonts w:hint="eastAsia"/>
          <w:color w:val="333333"/>
          <w:sz w:val="28"/>
          <w:szCs w:val="28"/>
        </w:rPr>
        <w:t>。</w:t>
      </w:r>
      <w:r>
        <w:rPr>
          <w:rFonts w:hint="eastAsia"/>
          <w:color w:val="333333"/>
          <w:sz w:val="28"/>
          <w:szCs w:val="28"/>
          <w:lang w:eastAsia="zh-CN"/>
        </w:rPr>
        <w:t>其他支出</w:t>
      </w:r>
      <w:r>
        <w:rPr>
          <w:rFonts w:hint="eastAsia"/>
          <w:color w:val="333333"/>
          <w:sz w:val="28"/>
          <w:szCs w:val="28"/>
          <w:lang w:val="en-US" w:eastAsia="zh-CN"/>
        </w:rPr>
        <w:t>0万元,占支出0%</w:t>
      </w:r>
    </w:p>
    <w:p>
      <w:pPr>
        <w:pStyle w:val="11"/>
        <w:rPr>
          <w:rFonts w:hint="eastAsia" w:ascii="宋体" w:hAnsi="宋体" w:cs="宋体"/>
          <w:sz w:val="30"/>
          <w:szCs w:val="30"/>
          <w:lang w:val="en-US" w:eastAsia="zh-CN"/>
        </w:rPr>
      </w:pPr>
      <w:r>
        <w:rPr>
          <w:rFonts w:hint="eastAsia" w:hAnsi="黑体"/>
          <w:b/>
          <w:sz w:val="32"/>
          <w:szCs w:val="32"/>
        </w:rPr>
        <w:t>四、财政拨款收入支出决算总体情况说明</w:t>
      </w:r>
    </w:p>
    <w:p>
      <w:pPr>
        <w:pStyle w:val="6"/>
        <w:spacing w:before="0" w:beforeAutospacing="0" w:after="0" w:afterAutospacing="0" w:line="520" w:lineRule="exact"/>
        <w:ind w:firstLine="478" w:firstLineChars="171"/>
        <w:jc w:val="both"/>
        <w:rPr>
          <w:rFonts w:hint="eastAsia"/>
          <w:color w:val="333333"/>
          <w:sz w:val="28"/>
          <w:szCs w:val="28"/>
        </w:rPr>
      </w:pPr>
      <w:r>
        <w:rPr>
          <w:rFonts w:hint="eastAsia" w:cs="Arial"/>
          <w:color w:val="000000"/>
          <w:sz w:val="28"/>
          <w:szCs w:val="28"/>
          <w:lang w:eastAsia="zh-CN"/>
        </w:rPr>
        <w:t>古丈职校</w:t>
      </w:r>
      <w:r>
        <w:rPr>
          <w:rFonts w:hint="eastAsia"/>
          <w:color w:val="333333"/>
          <w:sz w:val="28"/>
          <w:szCs w:val="28"/>
          <w:lang w:eastAsia="zh-CN"/>
        </w:rPr>
        <w:t>2020</w:t>
      </w:r>
      <w:r>
        <w:rPr>
          <w:rFonts w:hint="eastAsia"/>
          <w:color w:val="333333"/>
          <w:sz w:val="28"/>
          <w:szCs w:val="28"/>
        </w:rPr>
        <w:t>年度财政拨款收入</w:t>
      </w:r>
      <w:r>
        <w:rPr>
          <w:rFonts w:hint="eastAsia"/>
          <w:color w:val="333333"/>
          <w:sz w:val="28"/>
          <w:szCs w:val="28"/>
          <w:lang w:val="en-US" w:eastAsia="zh-CN"/>
        </w:rPr>
        <w:t>894.6</w:t>
      </w:r>
      <w:r>
        <w:rPr>
          <w:rFonts w:hint="eastAsia"/>
          <w:color w:val="333333"/>
          <w:sz w:val="28"/>
          <w:szCs w:val="28"/>
        </w:rPr>
        <w:t>万元，财政拨款支出</w:t>
      </w:r>
      <w:r>
        <w:rPr>
          <w:rFonts w:hint="eastAsia"/>
          <w:color w:val="333333"/>
          <w:sz w:val="28"/>
          <w:szCs w:val="28"/>
          <w:lang w:val="en-US" w:eastAsia="zh-CN"/>
        </w:rPr>
        <w:t>894.6</w:t>
      </w:r>
      <w:r>
        <w:rPr>
          <w:rFonts w:hint="eastAsia"/>
          <w:color w:val="333333"/>
          <w:sz w:val="28"/>
          <w:szCs w:val="28"/>
        </w:rPr>
        <w:t xml:space="preserve"> 万元。比20</w:t>
      </w:r>
      <w:r>
        <w:rPr>
          <w:rFonts w:hint="eastAsia"/>
          <w:color w:val="333333"/>
          <w:sz w:val="28"/>
          <w:szCs w:val="28"/>
          <w:lang w:val="en-US" w:eastAsia="zh-CN"/>
        </w:rPr>
        <w:t>20</w:t>
      </w:r>
      <w:r>
        <w:rPr>
          <w:rFonts w:hint="eastAsia"/>
          <w:color w:val="333333"/>
          <w:sz w:val="28"/>
          <w:szCs w:val="28"/>
        </w:rPr>
        <w:t>年财政拨款收入</w:t>
      </w:r>
      <w:r>
        <w:rPr>
          <w:rFonts w:hint="eastAsia"/>
          <w:color w:val="333333"/>
          <w:sz w:val="28"/>
          <w:szCs w:val="28"/>
          <w:lang w:val="en-US" w:eastAsia="zh-CN"/>
        </w:rPr>
        <w:t>减少</w:t>
      </w:r>
      <w:r>
        <w:rPr>
          <w:rFonts w:hint="eastAsia"/>
          <w:color w:val="333333"/>
          <w:sz w:val="28"/>
          <w:szCs w:val="28"/>
        </w:rPr>
        <w:t xml:space="preserve"> </w:t>
      </w:r>
      <w:r>
        <w:rPr>
          <w:rFonts w:hint="eastAsia"/>
          <w:color w:val="333333"/>
          <w:sz w:val="28"/>
          <w:szCs w:val="28"/>
          <w:lang w:val="en-US" w:eastAsia="zh-CN"/>
        </w:rPr>
        <w:t>4</w:t>
      </w:r>
      <w:r>
        <w:rPr>
          <w:rFonts w:hint="eastAsia"/>
          <w:color w:val="333333"/>
          <w:sz w:val="28"/>
          <w:szCs w:val="28"/>
        </w:rPr>
        <w:t>万元。</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2020年度财政拨款支出836.6万元，占本年支出合计的94%，与上年相比，财政拨款支出减少4万元，</w:t>
      </w:r>
      <w:r>
        <w:rPr>
          <w:rFonts w:hint="eastAsia"/>
          <w:sz w:val="28"/>
          <w:szCs w:val="28"/>
          <w:lang w:val="en-US" w:eastAsia="zh-CN"/>
        </w:rPr>
        <w:t>减少0.003</w:t>
      </w:r>
      <w:r>
        <w:rPr>
          <w:rFonts w:hint="eastAsia"/>
          <w:sz w:val="28"/>
          <w:szCs w:val="28"/>
        </w:rPr>
        <w:t>%。</w:t>
      </w:r>
      <w:r>
        <w:rPr>
          <w:rFonts w:hint="eastAsia" w:ascii="宋体" w:hAnsi="宋体" w:eastAsia="宋体" w:cs="仿宋_GB2312"/>
          <w:color w:val="auto"/>
          <w:kern w:val="2"/>
          <w:sz w:val="28"/>
          <w:szCs w:val="28"/>
          <w:lang w:val="en-US" w:eastAsia="zh-CN" w:bidi="ar-SA"/>
        </w:rPr>
        <w:t>主要是本年度学生人数减少，助学金拨款数减少。</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2020年度财政拨款支出836.6万元，主要用于以下方面：教育（类）支出836.6万元，占100%。</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2020年度财政拨款支出年初预算数为247.49万元，支出决算数为894.6万元，完成年初预算的361.47%，其中：</w:t>
      </w:r>
    </w:p>
    <w:p>
      <w:pPr>
        <w:pStyle w:val="11"/>
        <w:numPr>
          <w:ilvl w:val="0"/>
          <w:numId w:val="1"/>
        </w:numPr>
        <w:ind w:left="-70" w:leftChars="0" w:firstLine="700" w:firstLineChars="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教育支出205（类）02（款）99（项）。</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年初预算为0万元，调整预算数为58.4万元，支出决算为58.4万元，决算数大于年初预算数的主要原因是：财政科目调整、使用上年结转结余、财政追加。</w:t>
      </w:r>
    </w:p>
    <w:p>
      <w:pPr>
        <w:pStyle w:val="11"/>
        <w:numPr>
          <w:ilvl w:val="0"/>
          <w:numId w:val="1"/>
        </w:numPr>
        <w:ind w:left="-70" w:leftChars="0" w:firstLine="700" w:firstLineChars="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教育支出205（类）03（款）01项）。</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年初预算为247.49万元，调整预算数为422.68万元，支出决算为422.68万元，完成预算的170.79%，决算数大于年初预算数的主要原因是：财政科目调整、使用上年结转结余、财政追加。</w:t>
      </w:r>
    </w:p>
    <w:p>
      <w:pPr>
        <w:pStyle w:val="11"/>
        <w:numPr>
          <w:ilvl w:val="0"/>
          <w:numId w:val="1"/>
        </w:numPr>
        <w:ind w:left="-70" w:leftChars="0" w:firstLine="700" w:firstLineChars="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教育支出205（类）03（款）02（项）。</w:t>
      </w:r>
    </w:p>
    <w:p>
      <w:pPr>
        <w:pStyle w:val="11"/>
        <w:ind w:firstLine="560" w:firstLineChars="200"/>
        <w:rPr>
          <w:rFonts w:hint="default"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年初预算为0万元，调整预算数为104.37万元，支出决算为104.37万元，决算数大于年初预算数的主要原因是：财政科目调整、使用上年结转结余、财政追加。</w:t>
      </w:r>
    </w:p>
    <w:p>
      <w:pPr>
        <w:pStyle w:val="11"/>
        <w:numPr>
          <w:ilvl w:val="0"/>
          <w:numId w:val="0"/>
        </w:numPr>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4、教育支出（类）09（款）05（项）。</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 xml:space="preserve"> 年初预算为0万元，调整预算数为38万元，支出决算为38万元，决算数大于年初预算数的主要原因是：财政科目调整、使用上年结转结余、财政追加。</w:t>
      </w:r>
    </w:p>
    <w:p>
      <w:pPr>
        <w:pStyle w:val="11"/>
        <w:numPr>
          <w:ilvl w:val="0"/>
          <w:numId w:val="0"/>
        </w:numPr>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5、教育支出（类）09（款）05（项）。</w:t>
      </w:r>
    </w:p>
    <w:p>
      <w:pPr>
        <w:pStyle w:val="11"/>
        <w:ind w:firstLine="560" w:firstLineChars="200"/>
        <w:rPr>
          <w:rFonts w:hint="default"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 xml:space="preserve"> 年初预算为0万元，调整预算数为213.13万元，支出决算为213.13万元，决算数大于年初预算数的主要原因是：财政科目调整、使用上年结转结余、财政追加。</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560" w:firstLineChars="200"/>
        <w:rPr>
          <w:rFonts w:hint="default"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2020年度财政拨款基本支出420.89万元，其中：人员经费415.7万元，占基本支出的47%,主要包括基本工资229.6万元、津贴补贴19.2万元、绩效工资10.4万元，基本养老保险45.2万无，基本医疗保险12.9万元，其他社会保障缴费12.9万元，住房公积金26.4万元，抚恤金0万元，生活补助5万元，助学金54.2万元。公用经费420.9万元，占基本支出的47%，主要包括办公费1.7万元、水费0万元，电费0万元，邮电费0万元，差旅费0万元，会议费0.3万元，培训费0万元，维修费38万元，劳务费67.2万元，公务接待1万元，工会经费50万元，其他商品服务支出0万元，办公设备购置0万元。资本性支出199.6万元。</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“三公”经费财政拨款支出预算为1.43万元，支出决算为1万元，完成预算的69.93%，其中：</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因公出国（境）费支出预算为0万元，支出决算为0万元，决算数等于预算数的主要原因是无因公出国（境）费支出，与上年相比增加0万元，增长0%,增长的主要原因是无因公出国（境）费支出。</w:t>
      </w:r>
    </w:p>
    <w:p>
      <w:pPr>
        <w:pStyle w:val="11"/>
        <w:ind w:firstLine="560" w:firstLineChars="200"/>
        <w:rPr>
          <w:rFonts w:hint="eastAsia" w:ascii="宋体" w:hAnsi="宋体" w:eastAsia="宋体" w:cs="黑体"/>
          <w:color w:val="0000FF"/>
          <w:kern w:val="0"/>
          <w:sz w:val="32"/>
          <w:szCs w:val="32"/>
          <w:lang w:val="en-US" w:eastAsia="zh-CN" w:bidi="ar"/>
          <w14:textFill>
            <w14:gradFill>
              <w14:gsLst>
                <w14:gs w14:pos="0">
                  <w14:srgbClr w14:val="007BD3"/>
                </w14:gs>
                <w14:gs w14:pos="100000">
                  <w14:srgbClr w14:val="034373"/>
                </w14:gs>
              </w14:gsLst>
              <w14:lin w14:scaled="0"/>
            </w14:gradFill>
          </w14:textFill>
        </w:rPr>
      </w:pPr>
      <w:r>
        <w:rPr>
          <w:rFonts w:hint="eastAsia" w:ascii="宋体" w:hAnsi="宋体" w:eastAsia="宋体" w:cs="仿宋_GB2312"/>
          <w:color w:val="auto"/>
          <w:kern w:val="2"/>
          <w:sz w:val="28"/>
          <w:szCs w:val="28"/>
          <w:lang w:val="en-US" w:eastAsia="zh-CN" w:bidi="ar-SA"/>
        </w:rPr>
        <w:t>公务接待费支出预算为1.43万元，支出决算为1万元，完成预算的69.93%，决算数小于预算数的主要原因是较好的落实了中央和省委省政府要求，厉行节约，压缩一般性行政经费，严格三公经费支出的审核把关和规范三公经费支出程序，公务接待费与上年相比增加1万元,增长的主要原因是上年发生公务接待费0万元。其中：国内接待费支出1万元，与上年相比增加1万元</w:t>
      </w:r>
      <w:bookmarkStart w:id="0" w:name="_GoBack"/>
      <w:bookmarkEnd w:id="0"/>
      <w:r>
        <w:rPr>
          <w:rFonts w:hint="eastAsia" w:ascii="宋体" w:hAnsi="宋体" w:eastAsia="宋体" w:cs="仿宋_GB2312"/>
          <w:color w:val="auto"/>
          <w:kern w:val="2"/>
          <w:sz w:val="28"/>
          <w:szCs w:val="28"/>
          <w:lang w:val="en-US" w:eastAsia="zh-CN" w:bidi="ar-SA"/>
        </w:rPr>
        <w:t>。国（境）外接待费0万元，与上年相比相等，减少0万元，减少0%。</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hint="eastAsia" w:ascii="宋体" w:hAnsi="宋体" w:eastAsia="宋体" w:cs="仿宋_GB2312"/>
          <w:color w:val="auto"/>
          <w:kern w:val="2"/>
          <w:sz w:val="28"/>
          <w:szCs w:val="28"/>
          <w:lang w:val="en-US" w:eastAsia="zh-CN" w:bidi="ar-SA"/>
        </w:rPr>
      </w:pPr>
      <w:r>
        <w:rPr>
          <w:rFonts w:hint="eastAsia" w:asciiTheme="minorEastAsia" w:hAnsiTheme="minorEastAsia" w:eastAsiaTheme="minorEastAsia"/>
          <w:sz w:val="32"/>
          <w:szCs w:val="32"/>
          <w:lang w:val="en-US" w:eastAsia="zh-CN"/>
        </w:rPr>
        <w:t xml:space="preserve">  </w:t>
      </w:r>
      <w:r>
        <w:rPr>
          <w:rFonts w:hint="eastAsia" w:ascii="宋体" w:hAnsi="宋体" w:eastAsia="宋体" w:cs="仿宋_GB2312"/>
          <w:color w:val="auto"/>
          <w:kern w:val="2"/>
          <w:sz w:val="28"/>
          <w:szCs w:val="28"/>
          <w:lang w:val="en-US" w:eastAsia="zh-CN" w:bidi="ar-SA"/>
        </w:rPr>
        <w:t>2020年度“三公”经费财政拨款支出决算中，公务接待费支出决算1万元，占100%,因公出国（境）费支出决算0万元，占0%,公务用车购置费及运行维护费支出决算0万元，占0%。其中：</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因公出国（境）费支出决算为0万元，全年安排因公出国（境）团组0个，累计0人次,开支内容包括：无。</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2、公务接待费支出决算为1万元，全年共接待来访团组26个、来宾200人次，主要是</w:t>
      </w:r>
      <w:r>
        <w:rPr>
          <w:rFonts w:hint="eastAsia" w:asciiTheme="minorEastAsia" w:hAnsiTheme="minorEastAsia" w:eastAsiaTheme="minorEastAsia"/>
          <w:sz w:val="32"/>
          <w:szCs w:val="32"/>
          <w:lang w:eastAsia="zh-CN"/>
        </w:rPr>
        <w:t>州、县领导来我校检查指导教育教学管理工作</w:t>
      </w:r>
      <w:r>
        <w:rPr>
          <w:rFonts w:hint="eastAsia" w:asciiTheme="minorEastAsia" w:hAnsiTheme="minorEastAsia" w:eastAsiaTheme="minorEastAsia"/>
          <w:sz w:val="32"/>
          <w:szCs w:val="32"/>
        </w:rPr>
        <w:t>发生的接待支出</w:t>
      </w:r>
      <w:r>
        <w:rPr>
          <w:rFonts w:hint="eastAsia" w:ascii="宋体" w:hAnsi="宋体" w:eastAsia="宋体" w:cs="仿宋_GB2312"/>
          <w:color w:val="auto"/>
          <w:kern w:val="2"/>
          <w:sz w:val="28"/>
          <w:szCs w:val="28"/>
          <w:lang w:val="en-US" w:eastAsia="zh-CN" w:bidi="ar-SA"/>
        </w:rPr>
        <w:t>。</w:t>
      </w:r>
    </w:p>
    <w:p>
      <w:pPr>
        <w:pStyle w:val="11"/>
        <w:ind w:firstLine="560" w:firstLineChars="200"/>
        <w:rPr>
          <w:rFonts w:hint="default" w:asciiTheme="minorEastAsia" w:hAnsiTheme="minorEastAsia" w:eastAsiaTheme="minorEastAsia"/>
          <w:sz w:val="32"/>
          <w:szCs w:val="32"/>
          <w:lang w:val="en-US" w:eastAsia="zh-CN"/>
        </w:rPr>
      </w:pPr>
      <w:r>
        <w:rPr>
          <w:rFonts w:hint="eastAsia" w:ascii="宋体" w:hAnsi="宋体" w:eastAsia="宋体" w:cs="仿宋_GB2312"/>
          <w:color w:val="auto"/>
          <w:kern w:val="2"/>
          <w:sz w:val="28"/>
          <w:szCs w:val="28"/>
          <w:lang w:val="en-US" w:eastAsia="zh-CN" w:bidi="ar-SA"/>
        </w:rPr>
        <w:t>3、公务用车购置费及运行维护费支出决算为0万元，其中：公务用车购置费0万元。公务用车运行维护费0万元，主要是无，截止2020年12月31日，我单位开支财政拨款的公务用车保有量为0辆。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宋体" w:hAnsi="宋体" w:eastAsia="宋体" w:cs="仿宋_GB2312"/>
          <w:color w:val="auto"/>
          <w:kern w:val="2"/>
          <w:sz w:val="28"/>
          <w:szCs w:val="28"/>
          <w:lang w:val="en-US" w:eastAsia="zh-CN" w:bidi="ar-SA"/>
        </w:rPr>
      </w:pPr>
      <w:r>
        <w:rPr>
          <w:rFonts w:hint="eastAsia" w:asciiTheme="minorEastAsia" w:hAnsiTheme="minorEastAsia" w:eastAsiaTheme="minorEastAsia"/>
          <w:sz w:val="32"/>
          <w:szCs w:val="32"/>
        </w:rPr>
        <w:t xml:space="preserve">    </w:t>
      </w:r>
      <w:r>
        <w:rPr>
          <w:rFonts w:hint="eastAsia" w:ascii="宋体" w:hAnsi="宋体" w:eastAsia="宋体" w:cs="仿宋_GB2312"/>
          <w:color w:val="auto"/>
          <w:kern w:val="2"/>
          <w:sz w:val="28"/>
          <w:szCs w:val="28"/>
          <w:lang w:val="en-US" w:eastAsia="zh-CN" w:bidi="ar-SA"/>
        </w:rPr>
        <w:t xml:space="preserve"> 2020年度无政府性基金预算财政拨款收入、年初结转和结余、支出。</w:t>
      </w:r>
    </w:p>
    <w:p>
      <w:pPr>
        <w:numPr>
          <w:ilvl w:val="0"/>
          <w:numId w:val="0"/>
        </w:numPr>
        <w:autoSpaceDE w:val="0"/>
        <w:autoSpaceDN w:val="0"/>
        <w:adjustRightInd w:val="0"/>
        <w:spacing w:line="500" w:lineRule="exact"/>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九、国有资本经营预算财政拨款支出决算情况</w:t>
      </w:r>
    </w:p>
    <w:p>
      <w:pPr>
        <w:pStyle w:val="11"/>
        <w:rPr>
          <w:rFonts w:hint="eastAsia" w:ascii="宋体" w:hAnsi="宋体" w:eastAsia="宋体" w:cs="仿宋_GB2312"/>
          <w:color w:val="auto"/>
          <w:kern w:val="2"/>
          <w:sz w:val="28"/>
          <w:szCs w:val="28"/>
          <w:lang w:val="en-US" w:eastAsia="zh-CN" w:bidi="ar-SA"/>
        </w:rPr>
      </w:pPr>
      <w:r>
        <w:rPr>
          <w:rFonts w:hint="eastAsia" w:ascii="黑体" w:hAnsi="黑体" w:eastAsia="黑体" w:cs="黑体"/>
          <w:b/>
          <w:color w:val="000000"/>
          <w:kern w:val="0"/>
          <w:sz w:val="32"/>
          <w:szCs w:val="32"/>
          <w:lang w:val="en-US" w:eastAsia="zh-CN" w:bidi="ar-SA"/>
        </w:rPr>
        <w:t xml:space="preserve">    </w:t>
      </w:r>
      <w:r>
        <w:rPr>
          <w:rFonts w:hint="eastAsia" w:ascii="宋体" w:hAnsi="宋体" w:eastAsia="宋体" w:cs="仿宋_GB2312"/>
          <w:color w:val="auto"/>
          <w:kern w:val="2"/>
          <w:sz w:val="28"/>
          <w:szCs w:val="28"/>
          <w:lang w:val="en-US" w:eastAsia="zh-CN" w:bidi="ar-SA"/>
        </w:rPr>
        <w:t>2020年度无国有资本经营预算财政拨款收入、年初结转和结余、支出。</w:t>
      </w:r>
    </w:p>
    <w:p>
      <w:pPr>
        <w:pStyle w:val="11"/>
        <w:rPr>
          <w:rFonts w:hAnsi="黑体"/>
          <w:b/>
          <w:sz w:val="32"/>
          <w:szCs w:val="32"/>
        </w:rPr>
      </w:pPr>
      <w:r>
        <w:rPr>
          <w:rFonts w:hint="eastAsia" w:hAnsi="黑体"/>
          <w:b/>
          <w:sz w:val="32"/>
          <w:szCs w:val="32"/>
          <w:lang w:eastAsia="zh-CN"/>
        </w:rPr>
        <w:t>十、</w:t>
      </w:r>
      <w:r>
        <w:rPr>
          <w:rFonts w:hint="eastAsia" w:hAnsi="黑体"/>
          <w:b/>
          <w:sz w:val="32"/>
          <w:szCs w:val="32"/>
        </w:rPr>
        <w:t>关于机关运行经费支出说明</w:t>
      </w:r>
    </w:p>
    <w:p>
      <w:pPr>
        <w:pStyle w:val="11"/>
        <w:ind w:firstLine="560" w:firstLineChars="200"/>
        <w:rPr>
          <w:rFonts w:hint="eastAsia" w:asciiTheme="minorEastAsia" w:hAnsiTheme="minorEastAsia" w:eastAsiaTheme="minorEastAsia"/>
          <w:sz w:val="32"/>
          <w:szCs w:val="32"/>
        </w:rPr>
      </w:pPr>
      <w:r>
        <w:rPr>
          <w:rFonts w:hint="eastAsia" w:ascii="宋体" w:hAnsi="宋体" w:eastAsia="宋体" w:cs="仿宋_GB2312"/>
          <w:color w:val="auto"/>
          <w:kern w:val="2"/>
          <w:sz w:val="28"/>
          <w:szCs w:val="28"/>
          <w:lang w:val="en-US" w:eastAsia="zh-CN" w:bidi="ar-SA"/>
        </w:rPr>
        <w:t>本部门2020年度机关运行经费支出</w:t>
      </w:r>
      <w:r>
        <w:rPr>
          <w:rFonts w:hint="eastAsia" w:asciiTheme="minorEastAsia" w:hAnsiTheme="minorEastAsia" w:eastAsiaTheme="minorEastAsia"/>
          <w:sz w:val="32"/>
          <w:szCs w:val="32"/>
          <w:lang w:val="en-US" w:eastAsia="zh-CN"/>
        </w:rPr>
        <w:t>221.29</w:t>
      </w:r>
      <w:r>
        <w:rPr>
          <w:rFonts w:hint="eastAsia" w:ascii="宋体" w:hAnsi="宋体" w:eastAsia="宋体" w:cs="仿宋_GB2312"/>
          <w:color w:val="auto"/>
          <w:kern w:val="2"/>
          <w:sz w:val="28"/>
          <w:szCs w:val="28"/>
          <w:lang w:val="en-US" w:eastAsia="zh-CN" w:bidi="ar-SA"/>
        </w:rPr>
        <w:t>万元，比年初预算数0万元，增加221.29万元。主要原因是：本校属于中职学校，非九年义务教育学校，公用经费拨款没有列入预算。</w:t>
      </w:r>
    </w:p>
    <w:p>
      <w:pPr>
        <w:pStyle w:val="11"/>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、一般性支出情况</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2020年本单位0.3万元会议费，开支培训费0万元，用于开展全州中职学校运动会比赛。</w:t>
      </w:r>
    </w:p>
    <w:p>
      <w:pPr>
        <w:pStyle w:val="11"/>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、关于政府采购支出说明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政府采购支出</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十</w:t>
      </w:r>
      <w:r>
        <w:rPr>
          <w:rFonts w:hint="eastAsia" w:hAnsi="黑体"/>
          <w:b/>
          <w:sz w:val="32"/>
          <w:szCs w:val="32"/>
          <w:lang w:eastAsia="zh-CN"/>
        </w:rPr>
        <w:t>三</w:t>
      </w:r>
      <w:r>
        <w:rPr>
          <w:rFonts w:hint="eastAsia" w:hAnsi="黑体"/>
          <w:b/>
          <w:sz w:val="32"/>
          <w:szCs w:val="32"/>
        </w:rPr>
        <w:t>、关于国有资产占用情况说明</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截至2020年12月31日，本单位共有车辆0辆，其中，主要领导干部用车0辆，机要通信用车0辆、应急保障用车0辆、执法执勤用车0辆、特种专业技术用车0辆、其他用车0辆，其他用车主要是全局共用一辆车；单位价值50万元以上通用设备0台（套）；单位价值100万元以上专用设备0台（套）。</w:t>
      </w:r>
    </w:p>
    <w:p>
      <w:pPr>
        <w:widowControl/>
        <w:ind w:firstLine="640" w:firstLineChars="200"/>
        <w:jc w:val="left"/>
        <w:rPr>
          <w:rFonts w:hint="eastAsia" w:ascii="Calibri" w:hAnsi="黑体" w:eastAsia="宋体" w:cs="Times New Roman"/>
          <w:b/>
          <w:sz w:val="32"/>
          <w:szCs w:val="32"/>
          <w:lang w:val="en-US" w:eastAsia="zh-CN"/>
        </w:rPr>
      </w:pPr>
      <w:r>
        <w:rPr>
          <w:rFonts w:hint="eastAsia" w:ascii="Calibri" w:hAnsi="黑体" w:eastAsia="宋体" w:cs="Times New Roman"/>
          <w:b/>
          <w:sz w:val="32"/>
          <w:szCs w:val="32"/>
          <w:lang w:val="en-US" w:eastAsia="zh-CN"/>
        </w:rPr>
        <w:t>十四、关于2020年度预算绩效情况的说明</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根据上级部门要求，根据《湖南省财政厅关于开展 2020年度部门整体支出绩效自评工作的通知》（湘财绩〔2020〕4 号）精神，对部门整体支出绩效开展了自评。促进部门从整体上提升预算绩效管理工作水平，强化部门支出责任，规范资金管理行为，提高财政资金使用效益，保障部门更好地履行职责，使财政资金通过部门行使其职能，服务社会、群众变得更有效益和效率。</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预算绩效管理评价结果情况。对预算绩效从预算的配置、执行、管理三个方面，侧重对“三公”的变动和控制情况、预算的完成率和控制情况、公用经费的控制情况以及政府采购执行情况作了祥细的评价。</w:t>
      </w:r>
    </w:p>
    <w:p>
      <w:pPr>
        <w:pStyle w:val="11"/>
        <w:ind w:firstLine="560" w:firstLineChars="200"/>
        <w:rPr>
          <w:rFonts w:hint="eastAsia"/>
          <w:sz w:val="72"/>
          <w:szCs w:val="72"/>
        </w:rPr>
      </w:pPr>
      <w:r>
        <w:rPr>
          <w:rFonts w:hint="eastAsia" w:ascii="宋体" w:hAnsi="宋体" w:eastAsia="宋体" w:cs="仿宋_GB2312"/>
          <w:color w:val="auto"/>
          <w:kern w:val="2"/>
          <w:sz w:val="28"/>
          <w:szCs w:val="28"/>
          <w:lang w:val="en-US" w:eastAsia="zh-CN" w:bidi="ar-SA"/>
        </w:rPr>
        <w:t>本部门预算绩效管理开展情况、绩效目标和绩效评价报告等，按照财政绩效部门要求由古丈县教体局统一公开。</w:t>
      </w:r>
    </w:p>
    <w:p>
      <w:pPr>
        <w:pStyle w:val="11"/>
        <w:ind w:firstLine="560" w:firstLineChars="200"/>
        <w:rPr>
          <w:rFonts w:hint="eastAsia" w:ascii="宋体" w:hAnsi="宋体" w:eastAsia="宋体" w:cs="仿宋_GB2312"/>
          <w:color w:val="auto"/>
          <w:kern w:val="2"/>
          <w:sz w:val="28"/>
          <w:szCs w:val="28"/>
          <w:lang w:val="en-US" w:eastAsia="zh-CN" w:bidi="ar-SA"/>
        </w:rPr>
      </w:pPr>
    </w:p>
    <w:p>
      <w:pPr>
        <w:pStyle w:val="11"/>
        <w:ind w:firstLine="4160" w:firstLineChars="800"/>
        <w:jc w:val="both"/>
        <w:rPr>
          <w:rFonts w:hint="eastAsia"/>
          <w:sz w:val="52"/>
          <w:szCs w:val="52"/>
        </w:rPr>
      </w:pPr>
      <w:r>
        <w:rPr>
          <w:rFonts w:hint="eastAsia"/>
          <w:sz w:val="52"/>
          <w:szCs w:val="52"/>
        </w:rPr>
        <w:t>第四部分</w:t>
      </w:r>
    </w:p>
    <w:p>
      <w:pPr>
        <w:pStyle w:val="11"/>
        <w:ind w:firstLine="4160" w:firstLineChars="800"/>
        <w:jc w:val="both"/>
        <w:rPr>
          <w:rFonts w:hint="eastAsia"/>
          <w:sz w:val="52"/>
          <w:szCs w:val="52"/>
        </w:rPr>
      </w:pPr>
      <w:r>
        <w:rPr>
          <w:rFonts w:hint="eastAsia"/>
          <w:sz w:val="52"/>
          <w:szCs w:val="52"/>
        </w:rPr>
        <w:t>名词解释</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1、财政拨款收入：指财政当年拨付的资金。</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2、事业收入：事业单位履行职能过程中收到的未纳入预算管理的非税收入。</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3、其他收入：指除“财政预算拨款”“事业收入”外，不须上缴财政的收入。入。</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4、基本支出：指部门为保障其机构正常运转、完成日常工作任务而编制的年度基本支出计划，包括人员经费和公用经费两部分。</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5、项目支出：指部门为完成其特定的行政工作任务或事业发展目标，在基本支出预算之外编制的年度项目支出计划。</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6、“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7、预算绩效：是指由政府部门在明确需要履行的</w:t>
      </w:r>
      <w:r>
        <w:rPr>
          <w:rFonts w:hint="eastAsia" w:ascii="宋体" w:hAnsi="宋体" w:eastAsia="宋体" w:cs="仿宋_GB2312"/>
          <w:color w:val="auto"/>
          <w:kern w:val="2"/>
          <w:sz w:val="28"/>
          <w:szCs w:val="28"/>
          <w:lang w:val="en-US" w:eastAsia="zh-CN" w:bidi="ar-SA"/>
        </w:rPr>
        <w:fldChar w:fldCharType="begin"/>
      </w:r>
      <w:r>
        <w:rPr>
          <w:rFonts w:hint="eastAsia" w:ascii="宋体" w:hAnsi="宋体" w:eastAsia="宋体" w:cs="仿宋_GB2312"/>
          <w:color w:val="auto"/>
          <w:kern w:val="2"/>
          <w:sz w:val="28"/>
          <w:szCs w:val="28"/>
          <w:lang w:val="en-US" w:eastAsia="zh-CN" w:bidi="ar-SA"/>
        </w:rPr>
        <w:instrText xml:space="preserve"> HYPERLINK "http://www.so.com/s?q=%E8%81%8C%E8%83%BD&amp;ie=utf-8&amp;src=internal_wenda_recommend_textn" \t "_blank" </w:instrText>
      </w:r>
      <w:r>
        <w:rPr>
          <w:rFonts w:hint="eastAsia" w:ascii="宋体" w:hAnsi="宋体" w:eastAsia="宋体" w:cs="仿宋_GB2312"/>
          <w:color w:val="auto"/>
          <w:kern w:val="2"/>
          <w:sz w:val="28"/>
          <w:szCs w:val="28"/>
          <w:lang w:val="en-US" w:eastAsia="zh-CN" w:bidi="ar-SA"/>
        </w:rPr>
        <w:fldChar w:fldCharType="separate"/>
      </w:r>
      <w:r>
        <w:rPr>
          <w:rFonts w:hint="eastAsia" w:ascii="宋体" w:hAnsi="宋体" w:eastAsia="宋体" w:cs="仿宋_GB2312"/>
          <w:color w:val="auto"/>
          <w:kern w:val="2"/>
          <w:sz w:val="28"/>
          <w:szCs w:val="28"/>
          <w:lang w:val="en-US" w:eastAsia="zh-CN" w:bidi="ar-SA"/>
        </w:rPr>
        <w:t>职能</w:t>
      </w:r>
      <w:r>
        <w:rPr>
          <w:rFonts w:hint="eastAsia" w:ascii="宋体" w:hAnsi="宋体" w:eastAsia="宋体" w:cs="仿宋_GB2312"/>
          <w:color w:val="auto"/>
          <w:kern w:val="2"/>
          <w:sz w:val="28"/>
          <w:szCs w:val="28"/>
          <w:lang w:val="en-US" w:eastAsia="zh-CN" w:bidi="ar-SA"/>
        </w:rPr>
        <w:fldChar w:fldCharType="end"/>
      </w:r>
      <w:r>
        <w:rPr>
          <w:rFonts w:hint="eastAsia" w:ascii="宋体" w:hAnsi="宋体" w:eastAsia="宋体" w:cs="仿宋_GB2312"/>
          <w:color w:val="auto"/>
          <w:kern w:val="2"/>
          <w:sz w:val="28"/>
          <w:szCs w:val="28"/>
          <w:lang w:val="en-US" w:eastAsia="zh-CN" w:bidi="ar-SA"/>
        </w:rPr>
        <w:t>和需要消耗的</w:t>
      </w:r>
      <w:r>
        <w:rPr>
          <w:rFonts w:hint="eastAsia" w:ascii="宋体" w:hAnsi="宋体" w:eastAsia="宋体" w:cs="仿宋_GB2312"/>
          <w:color w:val="auto"/>
          <w:kern w:val="2"/>
          <w:sz w:val="28"/>
          <w:szCs w:val="28"/>
          <w:lang w:val="en-US" w:eastAsia="zh-CN" w:bidi="ar-SA"/>
        </w:rPr>
        <w:fldChar w:fldCharType="begin"/>
      </w:r>
      <w:r>
        <w:rPr>
          <w:rFonts w:hint="eastAsia" w:ascii="宋体" w:hAnsi="宋体" w:eastAsia="宋体" w:cs="仿宋_GB2312"/>
          <w:color w:val="auto"/>
          <w:kern w:val="2"/>
          <w:sz w:val="28"/>
          <w:szCs w:val="28"/>
          <w:lang w:val="en-US" w:eastAsia="zh-CN" w:bidi="ar-SA"/>
        </w:rPr>
        <w:instrText xml:space="preserve"> HYPERLINK "http://www.so.com/s?q=%E8%B5%84%E6%BA%90&amp;ie=utf-8&amp;src=internal_wenda_recommend_textn" \t "_blank" </w:instrText>
      </w:r>
      <w:r>
        <w:rPr>
          <w:rFonts w:hint="eastAsia" w:ascii="宋体" w:hAnsi="宋体" w:eastAsia="宋体" w:cs="仿宋_GB2312"/>
          <w:color w:val="auto"/>
          <w:kern w:val="2"/>
          <w:sz w:val="28"/>
          <w:szCs w:val="28"/>
          <w:lang w:val="en-US" w:eastAsia="zh-CN" w:bidi="ar-SA"/>
        </w:rPr>
        <w:fldChar w:fldCharType="separate"/>
      </w:r>
      <w:r>
        <w:rPr>
          <w:rFonts w:hint="eastAsia" w:ascii="宋体" w:hAnsi="宋体" w:eastAsia="宋体" w:cs="仿宋_GB2312"/>
          <w:color w:val="auto"/>
          <w:kern w:val="2"/>
          <w:sz w:val="28"/>
          <w:szCs w:val="28"/>
          <w:lang w:val="en-US" w:eastAsia="zh-CN" w:bidi="ar-SA"/>
        </w:rPr>
        <w:t>资源</w:t>
      </w:r>
      <w:r>
        <w:rPr>
          <w:rFonts w:hint="eastAsia" w:ascii="宋体" w:hAnsi="宋体" w:eastAsia="宋体" w:cs="仿宋_GB2312"/>
          <w:color w:val="auto"/>
          <w:kern w:val="2"/>
          <w:sz w:val="28"/>
          <w:szCs w:val="28"/>
          <w:lang w:val="en-US" w:eastAsia="zh-CN" w:bidi="ar-SA"/>
        </w:rPr>
        <w:fldChar w:fldCharType="end"/>
      </w:r>
      <w:r>
        <w:rPr>
          <w:rFonts w:hint="eastAsia" w:ascii="宋体" w:hAnsi="宋体" w:eastAsia="宋体" w:cs="仿宋_GB2312"/>
          <w:color w:val="auto"/>
          <w:kern w:val="2"/>
          <w:sz w:val="28"/>
          <w:szCs w:val="28"/>
          <w:lang w:val="en-US" w:eastAsia="zh-CN" w:bidi="ar-SA"/>
        </w:rPr>
        <w:t>的</w:t>
      </w:r>
      <w:r>
        <w:rPr>
          <w:rFonts w:hint="eastAsia" w:ascii="宋体" w:hAnsi="宋体" w:eastAsia="宋体" w:cs="仿宋_GB2312"/>
          <w:color w:val="auto"/>
          <w:kern w:val="2"/>
          <w:sz w:val="28"/>
          <w:szCs w:val="28"/>
          <w:lang w:val="en-US" w:eastAsia="zh-CN" w:bidi="ar-SA"/>
        </w:rPr>
        <w:fldChar w:fldCharType="begin"/>
      </w:r>
      <w:r>
        <w:rPr>
          <w:rFonts w:hint="eastAsia" w:ascii="宋体" w:hAnsi="宋体" w:eastAsia="宋体" w:cs="仿宋_GB2312"/>
          <w:color w:val="auto"/>
          <w:kern w:val="2"/>
          <w:sz w:val="28"/>
          <w:szCs w:val="28"/>
          <w:lang w:val="en-US" w:eastAsia="zh-CN" w:bidi="ar-SA"/>
        </w:rPr>
        <w:instrText xml:space="preserve"> HYPERLINK "http://www.so.com/s?q=%E5%9F%BA%E7%A1%80&amp;ie=utf-8&amp;src=internal_wenda_recommend_textn" \t "_blank" </w:instrText>
      </w:r>
      <w:r>
        <w:rPr>
          <w:rFonts w:hint="eastAsia" w:ascii="宋体" w:hAnsi="宋体" w:eastAsia="宋体" w:cs="仿宋_GB2312"/>
          <w:color w:val="auto"/>
          <w:kern w:val="2"/>
          <w:sz w:val="28"/>
          <w:szCs w:val="28"/>
          <w:lang w:val="en-US" w:eastAsia="zh-CN" w:bidi="ar-SA"/>
        </w:rPr>
        <w:fldChar w:fldCharType="separate"/>
      </w:r>
      <w:r>
        <w:rPr>
          <w:rFonts w:hint="eastAsia" w:ascii="宋体" w:hAnsi="宋体" w:eastAsia="宋体" w:cs="仿宋_GB2312"/>
          <w:color w:val="auto"/>
          <w:kern w:val="2"/>
          <w:sz w:val="28"/>
          <w:szCs w:val="28"/>
          <w:lang w:val="en-US" w:eastAsia="zh-CN" w:bidi="ar-SA"/>
        </w:rPr>
        <w:t>基础</w:t>
      </w:r>
      <w:r>
        <w:rPr>
          <w:rFonts w:hint="eastAsia" w:ascii="宋体" w:hAnsi="宋体" w:eastAsia="宋体" w:cs="仿宋_GB2312"/>
          <w:color w:val="auto"/>
          <w:kern w:val="2"/>
          <w:sz w:val="28"/>
          <w:szCs w:val="28"/>
          <w:lang w:val="en-US" w:eastAsia="zh-CN" w:bidi="ar-SA"/>
        </w:rPr>
        <w:fldChar w:fldCharType="end"/>
      </w:r>
      <w:r>
        <w:rPr>
          <w:rFonts w:hint="eastAsia" w:ascii="宋体" w:hAnsi="宋体" w:eastAsia="宋体" w:cs="仿宋_GB2312"/>
          <w:color w:val="auto"/>
          <w:kern w:val="2"/>
          <w:sz w:val="28"/>
          <w:szCs w:val="28"/>
          <w:lang w:val="en-US" w:eastAsia="zh-CN" w:bidi="ar-SA"/>
        </w:rPr>
        <w:t>上确定</w:t>
      </w:r>
      <w:r>
        <w:rPr>
          <w:rFonts w:hint="eastAsia" w:ascii="宋体" w:hAnsi="宋体" w:eastAsia="宋体" w:cs="仿宋_GB2312"/>
          <w:color w:val="auto"/>
          <w:kern w:val="2"/>
          <w:sz w:val="28"/>
          <w:szCs w:val="28"/>
          <w:lang w:val="en-US" w:eastAsia="zh-CN" w:bidi="ar-SA"/>
        </w:rPr>
        <w:fldChar w:fldCharType="begin"/>
      </w:r>
      <w:r>
        <w:rPr>
          <w:rFonts w:hint="eastAsia" w:ascii="宋体" w:hAnsi="宋体" w:eastAsia="宋体" w:cs="仿宋_GB2312"/>
          <w:color w:val="auto"/>
          <w:kern w:val="2"/>
          <w:sz w:val="28"/>
          <w:szCs w:val="28"/>
          <w:lang w:val="en-US" w:eastAsia="zh-CN" w:bidi="ar-SA"/>
        </w:rPr>
        <w:instrText xml:space="preserve"> HYPERLINK "http://www.so.com/s?q=%E7%BB%A9%E6%95%88%E7%9B%AE%E6%A0%87&amp;ie=utf-8&amp;src=internal_wenda_recommend_textn" \t "_blank" </w:instrText>
      </w:r>
      <w:r>
        <w:rPr>
          <w:rFonts w:hint="eastAsia" w:ascii="宋体" w:hAnsi="宋体" w:eastAsia="宋体" w:cs="仿宋_GB2312"/>
          <w:color w:val="auto"/>
          <w:kern w:val="2"/>
          <w:sz w:val="28"/>
          <w:szCs w:val="28"/>
          <w:lang w:val="en-US" w:eastAsia="zh-CN" w:bidi="ar-SA"/>
        </w:rPr>
        <w:fldChar w:fldCharType="separate"/>
      </w:r>
      <w:r>
        <w:rPr>
          <w:rFonts w:hint="eastAsia" w:ascii="宋体" w:hAnsi="宋体" w:eastAsia="宋体" w:cs="仿宋_GB2312"/>
          <w:color w:val="auto"/>
          <w:kern w:val="2"/>
          <w:sz w:val="28"/>
          <w:szCs w:val="28"/>
          <w:lang w:val="en-US" w:eastAsia="zh-CN" w:bidi="ar-SA"/>
        </w:rPr>
        <w:t>绩效目标</w:t>
      </w:r>
      <w:r>
        <w:rPr>
          <w:rFonts w:hint="eastAsia" w:ascii="宋体" w:hAnsi="宋体" w:eastAsia="宋体" w:cs="仿宋_GB2312"/>
          <w:color w:val="auto"/>
          <w:kern w:val="2"/>
          <w:sz w:val="28"/>
          <w:szCs w:val="28"/>
          <w:lang w:val="en-US" w:eastAsia="zh-CN" w:bidi="ar-SA"/>
        </w:rPr>
        <w:fldChar w:fldCharType="end"/>
      </w:r>
      <w:r>
        <w:rPr>
          <w:rFonts w:hint="eastAsia" w:ascii="宋体" w:hAnsi="宋体" w:eastAsia="宋体" w:cs="仿宋_GB2312"/>
          <w:color w:val="auto"/>
          <w:kern w:val="2"/>
          <w:sz w:val="28"/>
          <w:szCs w:val="28"/>
          <w:lang w:val="en-US" w:eastAsia="zh-CN" w:bidi="ar-SA"/>
        </w:rPr>
        <w:t>，编制绩效预算，并用量化的</w:t>
      </w:r>
      <w:r>
        <w:rPr>
          <w:rFonts w:hint="eastAsia" w:ascii="宋体" w:hAnsi="宋体" w:eastAsia="宋体" w:cs="仿宋_GB2312"/>
          <w:color w:val="auto"/>
          <w:kern w:val="2"/>
          <w:sz w:val="28"/>
          <w:szCs w:val="28"/>
          <w:lang w:val="en-US" w:eastAsia="zh-CN" w:bidi="ar-SA"/>
        </w:rPr>
        <w:fldChar w:fldCharType="begin"/>
      </w:r>
      <w:r>
        <w:rPr>
          <w:rFonts w:hint="eastAsia" w:ascii="宋体" w:hAnsi="宋体" w:eastAsia="宋体" w:cs="仿宋_GB2312"/>
          <w:color w:val="auto"/>
          <w:kern w:val="2"/>
          <w:sz w:val="28"/>
          <w:szCs w:val="28"/>
          <w:lang w:val="en-US" w:eastAsia="zh-CN" w:bidi="ar-SA"/>
        </w:rPr>
        <w:instrText xml:space="preserve"> HYPERLINK "http://www.so.com/s?q=%E6%8C%87%E6%A0%87&amp;ie=utf-8&amp;src=internal_wenda_recommend_textn" \t "_blank" </w:instrText>
      </w:r>
      <w:r>
        <w:rPr>
          <w:rFonts w:hint="eastAsia" w:ascii="宋体" w:hAnsi="宋体" w:eastAsia="宋体" w:cs="仿宋_GB2312"/>
          <w:color w:val="auto"/>
          <w:kern w:val="2"/>
          <w:sz w:val="28"/>
          <w:szCs w:val="28"/>
          <w:lang w:val="en-US" w:eastAsia="zh-CN" w:bidi="ar-SA"/>
        </w:rPr>
        <w:fldChar w:fldCharType="separate"/>
      </w:r>
      <w:r>
        <w:rPr>
          <w:rFonts w:hint="eastAsia" w:ascii="宋体" w:hAnsi="宋体" w:eastAsia="宋体" w:cs="仿宋_GB2312"/>
          <w:color w:val="auto"/>
          <w:kern w:val="2"/>
          <w:sz w:val="28"/>
          <w:szCs w:val="28"/>
          <w:lang w:val="en-US" w:eastAsia="zh-CN" w:bidi="ar-SA"/>
        </w:rPr>
        <w:t>指标</w:t>
      </w:r>
      <w:r>
        <w:rPr>
          <w:rFonts w:hint="eastAsia" w:ascii="宋体" w:hAnsi="宋体" w:eastAsia="宋体" w:cs="仿宋_GB2312"/>
          <w:color w:val="auto"/>
          <w:kern w:val="2"/>
          <w:sz w:val="28"/>
          <w:szCs w:val="28"/>
          <w:lang w:val="en-US" w:eastAsia="zh-CN" w:bidi="ar-SA"/>
        </w:rPr>
        <w:fldChar w:fldCharType="end"/>
      </w:r>
      <w:r>
        <w:rPr>
          <w:rFonts w:hint="eastAsia" w:ascii="宋体" w:hAnsi="宋体" w:eastAsia="宋体" w:cs="仿宋_GB2312"/>
          <w:color w:val="auto"/>
          <w:kern w:val="2"/>
          <w:sz w:val="28"/>
          <w:szCs w:val="28"/>
          <w:lang w:val="en-US" w:eastAsia="zh-CN" w:bidi="ar-SA"/>
        </w:rPr>
        <w:t>来衡量其在实施过程中取得的</w:t>
      </w:r>
      <w:r>
        <w:rPr>
          <w:rFonts w:hint="eastAsia" w:ascii="宋体" w:hAnsi="宋体" w:eastAsia="宋体" w:cs="仿宋_GB2312"/>
          <w:color w:val="auto"/>
          <w:kern w:val="2"/>
          <w:sz w:val="28"/>
          <w:szCs w:val="28"/>
          <w:lang w:val="en-US" w:eastAsia="zh-CN" w:bidi="ar-SA"/>
        </w:rPr>
        <w:fldChar w:fldCharType="begin"/>
      </w:r>
      <w:r>
        <w:rPr>
          <w:rFonts w:hint="eastAsia" w:ascii="宋体" w:hAnsi="宋体" w:eastAsia="宋体" w:cs="仿宋_GB2312"/>
          <w:color w:val="auto"/>
          <w:kern w:val="2"/>
          <w:sz w:val="28"/>
          <w:szCs w:val="28"/>
          <w:lang w:val="en-US" w:eastAsia="zh-CN" w:bidi="ar-SA"/>
        </w:rPr>
        <w:instrText xml:space="preserve"> HYPERLINK "http://www.so.com/s?q=%E4%B8%9A%E7%BB%A9&amp;ie=utf-8&amp;src=internal_wenda_recommend_textn" \t "_blank" </w:instrText>
      </w:r>
      <w:r>
        <w:rPr>
          <w:rFonts w:hint="eastAsia" w:ascii="宋体" w:hAnsi="宋体" w:eastAsia="宋体" w:cs="仿宋_GB2312"/>
          <w:color w:val="auto"/>
          <w:kern w:val="2"/>
          <w:sz w:val="28"/>
          <w:szCs w:val="28"/>
          <w:lang w:val="en-US" w:eastAsia="zh-CN" w:bidi="ar-SA"/>
        </w:rPr>
        <w:fldChar w:fldCharType="separate"/>
      </w:r>
      <w:r>
        <w:rPr>
          <w:rFonts w:hint="eastAsia" w:ascii="宋体" w:hAnsi="宋体" w:eastAsia="宋体" w:cs="仿宋_GB2312"/>
          <w:color w:val="auto"/>
          <w:kern w:val="2"/>
          <w:sz w:val="28"/>
          <w:szCs w:val="28"/>
          <w:lang w:val="en-US" w:eastAsia="zh-CN" w:bidi="ar-SA"/>
        </w:rPr>
        <w:t>业绩</w:t>
      </w:r>
      <w:r>
        <w:rPr>
          <w:rFonts w:hint="eastAsia" w:ascii="宋体" w:hAnsi="宋体" w:eastAsia="宋体" w:cs="仿宋_GB2312"/>
          <w:color w:val="auto"/>
          <w:kern w:val="2"/>
          <w:sz w:val="28"/>
          <w:szCs w:val="28"/>
          <w:lang w:val="en-US" w:eastAsia="zh-CN" w:bidi="ar-SA"/>
        </w:rPr>
        <w:fldChar w:fldCharType="end"/>
      </w:r>
      <w:r>
        <w:rPr>
          <w:rFonts w:hint="eastAsia" w:ascii="宋体" w:hAnsi="宋体" w:eastAsia="宋体" w:cs="仿宋_GB2312"/>
          <w:color w:val="auto"/>
          <w:kern w:val="2"/>
          <w:sz w:val="28"/>
          <w:szCs w:val="28"/>
          <w:lang w:val="en-US" w:eastAsia="zh-CN" w:bidi="ar-SA"/>
        </w:rPr>
        <w:t>和完成工作的情况。</w:t>
      </w:r>
    </w:p>
    <w:p>
      <w:pPr>
        <w:pStyle w:val="11"/>
        <w:ind w:firstLine="560" w:firstLineChars="200"/>
        <w:rPr>
          <w:rFonts w:hint="eastAsia" w:ascii="宋体" w:hAnsi="宋体" w:eastAsia="宋体" w:cs="仿宋_GB2312"/>
          <w:color w:val="auto"/>
          <w:kern w:val="2"/>
          <w:sz w:val="28"/>
          <w:szCs w:val="28"/>
          <w:lang w:val="en-US" w:eastAsia="zh-CN" w:bidi="ar-SA"/>
        </w:rPr>
      </w:pPr>
      <w:r>
        <w:rPr>
          <w:rFonts w:hint="eastAsia" w:ascii="宋体" w:hAnsi="宋体" w:eastAsia="宋体" w:cs="仿宋_GB2312"/>
          <w:color w:val="auto"/>
          <w:kern w:val="2"/>
          <w:sz w:val="28"/>
          <w:szCs w:val="28"/>
          <w:lang w:val="en-US" w:eastAsia="zh-CN" w:bidi="ar-SA"/>
        </w:rPr>
        <w:t>8、绩效评价：是指运用一定的评价方法、量化指标及评价标准，对中央部门为实现其职能所确定的绩效目标的实现程度，及为实现这一目标所安排预算的执行结果所进行的综合性评价。</w:t>
      </w:r>
    </w:p>
    <w:p>
      <w:pPr>
        <w:pStyle w:val="11"/>
        <w:ind w:firstLine="560" w:firstLineChars="200"/>
        <w:rPr>
          <w:rFonts w:hint="eastAsia" w:ascii="宋体" w:hAnsi="宋体" w:eastAsia="宋体" w:cs="仿宋_GB2312"/>
          <w:color w:val="auto"/>
          <w:kern w:val="2"/>
          <w:sz w:val="28"/>
          <w:szCs w:val="28"/>
          <w:lang w:val="en-US" w:eastAsia="zh-CN" w:bidi="ar-SA"/>
        </w:rPr>
      </w:pPr>
    </w:p>
    <w:p>
      <w:pPr>
        <w:pStyle w:val="11"/>
        <w:ind w:firstLine="4160" w:firstLineChars="800"/>
        <w:jc w:val="both"/>
        <w:rPr>
          <w:rFonts w:hint="eastAsia"/>
          <w:sz w:val="52"/>
          <w:szCs w:val="52"/>
        </w:rPr>
      </w:pPr>
      <w:r>
        <w:rPr>
          <w:rFonts w:hint="eastAsia"/>
          <w:sz w:val="52"/>
          <w:szCs w:val="52"/>
        </w:rPr>
        <w:t>第五部分</w:t>
      </w:r>
    </w:p>
    <w:p>
      <w:pPr>
        <w:pStyle w:val="11"/>
        <w:jc w:val="both"/>
        <w:rPr>
          <w:rFonts w:hint="eastAsia"/>
          <w:sz w:val="52"/>
          <w:szCs w:val="52"/>
          <w:lang w:eastAsia="zh-CN"/>
        </w:rPr>
      </w:pPr>
      <w:r>
        <w:rPr>
          <w:rFonts w:hint="eastAsia"/>
          <w:sz w:val="52"/>
          <w:szCs w:val="52"/>
        </w:rPr>
        <w:t>附件</w:t>
      </w:r>
      <w:r>
        <w:rPr>
          <w:rFonts w:hint="eastAsia"/>
          <w:sz w:val="52"/>
          <w:szCs w:val="52"/>
          <w:lang w:eastAsia="zh-CN"/>
        </w:rPr>
        <w:t>：</w:t>
      </w:r>
    </w:p>
    <w:p>
      <w:pPr>
        <w:widowControl/>
        <w:jc w:val="left"/>
        <w:rPr>
          <w:rFonts w:hint="eastAsia" w:cs="黑体" w:asciiTheme="minorEastAsia" w:hAnsiTheme="minorEastAsia" w:eastAsiaTheme="minorEastAsia"/>
          <w:color w:val="000000"/>
          <w:kern w:val="0"/>
          <w:sz w:val="32"/>
          <w:szCs w:val="32"/>
          <w:u w:val="single"/>
          <w:lang w:val="en-US" w:eastAsia="zh-CN" w:bidi="ar-SA"/>
        </w:rPr>
      </w:pPr>
      <w:r>
        <w:rPr>
          <w:rFonts w:hint="eastAsia" w:cs="黑体" w:asciiTheme="minorEastAsia" w:hAnsiTheme="minorEastAsia" w:eastAsiaTheme="minorEastAsia"/>
          <w:color w:val="000000"/>
          <w:kern w:val="0"/>
          <w:sz w:val="32"/>
          <w:szCs w:val="32"/>
          <w:lang w:val="en-US" w:eastAsia="zh-CN" w:bidi="ar-SA"/>
        </w:rPr>
        <w:t>附件1：</w:t>
      </w:r>
      <w:r>
        <w:rPr>
          <w:rFonts w:hint="eastAsia" w:cs="黑体" w:asciiTheme="minorEastAsia" w:hAnsiTheme="minorEastAsia"/>
          <w:color w:val="000000"/>
          <w:kern w:val="0"/>
          <w:sz w:val="32"/>
          <w:szCs w:val="32"/>
          <w:u w:val="single"/>
          <w:lang w:val="en-US" w:eastAsia="zh-CN" w:bidi="ar-SA"/>
        </w:rPr>
        <w:t>古丈职校</w:t>
      </w:r>
      <w:r>
        <w:rPr>
          <w:rFonts w:hint="eastAsia" w:cs="黑体" w:asciiTheme="minorEastAsia" w:hAnsiTheme="minorEastAsia" w:eastAsiaTheme="minorEastAsia"/>
          <w:color w:val="000000"/>
          <w:kern w:val="0"/>
          <w:sz w:val="32"/>
          <w:szCs w:val="32"/>
          <w:u w:val="single"/>
          <w:lang w:val="en-US" w:eastAsia="zh-CN" w:bidi="ar-SA"/>
        </w:rPr>
        <w:t>2020年决算公开表</w:t>
      </w:r>
    </w:p>
    <w:p>
      <w:pPr>
        <w:widowControl/>
        <w:ind w:firstLine="6720" w:firstLineChars="21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古丈县综合职业技术学校</w:t>
      </w:r>
    </w:p>
    <w:p>
      <w:pPr>
        <w:widowControl/>
        <w:jc w:val="right"/>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2021年9月23日</w:t>
      </w:r>
    </w:p>
    <w:p>
      <w:pPr>
        <w:widowControl/>
        <w:jc w:val="left"/>
        <w:rPr>
          <w:rFonts w:hint="eastAsia" w:cs="黑体" w:asciiTheme="minorEastAsia" w:hAnsiTheme="minorEastAsia" w:eastAsiaTheme="minorEastAsia"/>
          <w:color w:val="000000"/>
          <w:kern w:val="0"/>
          <w:sz w:val="32"/>
          <w:szCs w:val="32"/>
          <w:lang w:val="en-US" w:eastAsia="zh-CN" w:bidi="ar-SA"/>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F6DBE"/>
    <w:multiLevelType w:val="singleLevel"/>
    <w:tmpl w:val="01AF6DBE"/>
    <w:lvl w:ilvl="0" w:tentative="0">
      <w:start w:val="1"/>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29EE"/>
    <w:rsid w:val="00E55B68"/>
    <w:rsid w:val="00E67BE6"/>
    <w:rsid w:val="00E8683C"/>
    <w:rsid w:val="00EA2B72"/>
    <w:rsid w:val="00F74360"/>
    <w:rsid w:val="00FB462F"/>
    <w:rsid w:val="00FE16FA"/>
    <w:rsid w:val="00FE328A"/>
    <w:rsid w:val="00FE6269"/>
    <w:rsid w:val="011B1A2A"/>
    <w:rsid w:val="03C51D63"/>
    <w:rsid w:val="03E67B8D"/>
    <w:rsid w:val="07640236"/>
    <w:rsid w:val="085F6148"/>
    <w:rsid w:val="09EE32B0"/>
    <w:rsid w:val="0C4141B8"/>
    <w:rsid w:val="0D661785"/>
    <w:rsid w:val="0D6779CA"/>
    <w:rsid w:val="0DBE0001"/>
    <w:rsid w:val="0E882E8B"/>
    <w:rsid w:val="1288331A"/>
    <w:rsid w:val="1389734C"/>
    <w:rsid w:val="13F64137"/>
    <w:rsid w:val="160C62E3"/>
    <w:rsid w:val="171D1F66"/>
    <w:rsid w:val="182D0A56"/>
    <w:rsid w:val="19253A8B"/>
    <w:rsid w:val="1B4073FE"/>
    <w:rsid w:val="1B7D4B00"/>
    <w:rsid w:val="1BD3327C"/>
    <w:rsid w:val="1BF35E17"/>
    <w:rsid w:val="1CBD5887"/>
    <w:rsid w:val="1DBC1046"/>
    <w:rsid w:val="1E477DD6"/>
    <w:rsid w:val="224D71B3"/>
    <w:rsid w:val="25C423CF"/>
    <w:rsid w:val="268B5F2A"/>
    <w:rsid w:val="272465EE"/>
    <w:rsid w:val="2BE2549C"/>
    <w:rsid w:val="2DD41612"/>
    <w:rsid w:val="2E877304"/>
    <w:rsid w:val="2EC10A17"/>
    <w:rsid w:val="314D3550"/>
    <w:rsid w:val="32317E5A"/>
    <w:rsid w:val="32D87B12"/>
    <w:rsid w:val="374E155B"/>
    <w:rsid w:val="37EF37D6"/>
    <w:rsid w:val="38CB6519"/>
    <w:rsid w:val="3A544F17"/>
    <w:rsid w:val="3B51577E"/>
    <w:rsid w:val="3B607A47"/>
    <w:rsid w:val="400141D1"/>
    <w:rsid w:val="401121D1"/>
    <w:rsid w:val="410C0B80"/>
    <w:rsid w:val="415D24EC"/>
    <w:rsid w:val="431E235F"/>
    <w:rsid w:val="43927814"/>
    <w:rsid w:val="467E5C8D"/>
    <w:rsid w:val="47622315"/>
    <w:rsid w:val="48E2114B"/>
    <w:rsid w:val="4B926274"/>
    <w:rsid w:val="4B994072"/>
    <w:rsid w:val="4BE63D0D"/>
    <w:rsid w:val="4C075076"/>
    <w:rsid w:val="4C117332"/>
    <w:rsid w:val="4E495746"/>
    <w:rsid w:val="4EBB54F5"/>
    <w:rsid w:val="501455FC"/>
    <w:rsid w:val="54FA7EE5"/>
    <w:rsid w:val="59CF47A0"/>
    <w:rsid w:val="5C963C7A"/>
    <w:rsid w:val="5D4D6CE9"/>
    <w:rsid w:val="5D645665"/>
    <w:rsid w:val="5E066328"/>
    <w:rsid w:val="5F9E03CB"/>
    <w:rsid w:val="5FF2125B"/>
    <w:rsid w:val="60445805"/>
    <w:rsid w:val="60A31187"/>
    <w:rsid w:val="60D334D5"/>
    <w:rsid w:val="613A5BF8"/>
    <w:rsid w:val="617E00F4"/>
    <w:rsid w:val="621767F6"/>
    <w:rsid w:val="62BB1E0E"/>
    <w:rsid w:val="64932FE9"/>
    <w:rsid w:val="69101014"/>
    <w:rsid w:val="6A2E4072"/>
    <w:rsid w:val="6BF260CF"/>
    <w:rsid w:val="6CC60B26"/>
    <w:rsid w:val="6D954C01"/>
    <w:rsid w:val="6DF26C0C"/>
    <w:rsid w:val="6E997838"/>
    <w:rsid w:val="6EC15826"/>
    <w:rsid w:val="6F275129"/>
    <w:rsid w:val="6FA62231"/>
    <w:rsid w:val="70EB287B"/>
    <w:rsid w:val="71CC1692"/>
    <w:rsid w:val="721558E2"/>
    <w:rsid w:val="724B048D"/>
    <w:rsid w:val="74174A6C"/>
    <w:rsid w:val="75522A37"/>
    <w:rsid w:val="765E5088"/>
    <w:rsid w:val="76A4691B"/>
    <w:rsid w:val="780C0599"/>
    <w:rsid w:val="78876DC1"/>
    <w:rsid w:val="79063FE5"/>
    <w:rsid w:val="79AD3D9E"/>
    <w:rsid w:val="7BB37DB6"/>
    <w:rsid w:val="7BFB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7</TotalTime>
  <ScaleCrop>false</ScaleCrop>
  <LinksUpToDate>false</LinksUpToDate>
  <CharactersWithSpaces>8753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平淡的幸福</cp:lastModifiedBy>
  <cp:lastPrinted>2021-09-30T06:45:00Z</cp:lastPrinted>
  <dcterms:modified xsi:type="dcterms:W3CDTF">2021-10-13T08:20:38Z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17543932A6A34A6386D4DA365B4A12BF</vt:lpwstr>
  </property>
</Properties>
</file>