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092" w:hanging="3092" w:hangingChars="700"/>
        <w:jc w:val="both"/>
        <w:rPr>
          <w:rFonts w:hint="eastAsia"/>
          <w:b/>
          <w:bCs/>
          <w:sz w:val="44"/>
          <w:szCs w:val="44"/>
        </w:rPr>
      </w:pPr>
      <w:r>
        <w:rPr>
          <w:rFonts w:hint="eastAsia"/>
          <w:b/>
          <w:bCs/>
          <w:sz w:val="44"/>
          <w:szCs w:val="44"/>
          <w:lang w:val="en-US" w:eastAsia="zh-CN"/>
        </w:rPr>
        <w:t>古丈县自然资源局</w:t>
      </w:r>
      <w:r>
        <w:rPr>
          <w:rFonts w:hint="eastAsia"/>
          <w:b/>
          <w:bCs/>
          <w:sz w:val="44"/>
          <w:szCs w:val="44"/>
        </w:rPr>
        <w:t>2022年度整体支出绩效自评报告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为真实准确反映我单位2022年度财政拨款资金使用效益，进一步提高预算绩效管理水平。按照《</w:t>
      </w:r>
      <w:r>
        <w:rPr>
          <w:rFonts w:hint="eastAsia" w:ascii="仿宋" w:hAnsi="仿宋" w:eastAsia="仿宋" w:cs="仿宋"/>
          <w:sz w:val="32"/>
          <w:szCs w:val="32"/>
          <w:lang w:eastAsia="zh-CN"/>
        </w:rPr>
        <w:t>古丈</w:t>
      </w:r>
      <w:r>
        <w:rPr>
          <w:rFonts w:hint="eastAsia" w:ascii="仿宋" w:hAnsi="仿宋" w:eastAsia="仿宋" w:cs="仿宋"/>
          <w:sz w:val="32"/>
          <w:szCs w:val="32"/>
        </w:rPr>
        <w:t>县财政局关于开展2022年度部门整体支出绩效自评工作的通知》和《古丈县五个文明建设绩效考核管理办法》要求，现将我单位2022年度项目支出绩效自评情况说明如下：</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一、资金拨付及执行情况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2022年我单位年初预算批复数</w:t>
      </w:r>
      <w:r>
        <w:rPr>
          <w:rFonts w:hint="eastAsia" w:ascii="仿宋" w:hAnsi="仿宋" w:eastAsia="仿宋" w:cs="仿宋"/>
          <w:sz w:val="32"/>
          <w:szCs w:val="32"/>
          <w:lang w:val="en-US" w:eastAsia="zh-CN"/>
        </w:rPr>
        <w:t>2274.53</w:t>
      </w:r>
      <w:r>
        <w:rPr>
          <w:rFonts w:hint="eastAsia" w:ascii="仿宋" w:hAnsi="仿宋" w:eastAsia="仿宋" w:cs="仿宋"/>
          <w:sz w:val="32"/>
          <w:szCs w:val="32"/>
        </w:rPr>
        <w:t>万元,全年预算数</w:t>
      </w:r>
      <w:r>
        <w:rPr>
          <w:rFonts w:hint="eastAsia" w:ascii="仿宋" w:hAnsi="仿宋" w:eastAsia="仿宋" w:cs="仿宋"/>
          <w:color w:val="auto"/>
          <w:sz w:val="32"/>
          <w:szCs w:val="32"/>
          <w:lang w:val="en-US" w:eastAsia="zh-CN"/>
        </w:rPr>
        <w:t>9576.2</w:t>
      </w:r>
      <w:r>
        <w:rPr>
          <w:rFonts w:hint="eastAsia" w:ascii="仿宋" w:hAnsi="仿宋" w:eastAsia="仿宋" w:cs="仿宋"/>
          <w:sz w:val="32"/>
          <w:szCs w:val="32"/>
        </w:rPr>
        <w:t>万元,年终决算数</w:t>
      </w:r>
      <w:r>
        <w:rPr>
          <w:rFonts w:hint="eastAsia" w:ascii="仿宋" w:hAnsi="仿宋" w:eastAsia="仿宋" w:cs="仿宋"/>
          <w:color w:val="auto"/>
          <w:sz w:val="32"/>
          <w:szCs w:val="32"/>
          <w:lang w:val="en-US" w:eastAsia="zh-CN"/>
        </w:rPr>
        <w:t>9576.2</w:t>
      </w:r>
      <w:r>
        <w:rPr>
          <w:rFonts w:hint="eastAsia" w:ascii="仿宋" w:hAnsi="仿宋" w:eastAsia="仿宋" w:cs="仿宋"/>
          <w:sz w:val="32"/>
          <w:szCs w:val="32"/>
        </w:rPr>
        <w:t>万元,预算总体执行率为</w:t>
      </w:r>
      <w:r>
        <w:rPr>
          <w:rFonts w:hint="eastAsia" w:ascii="仿宋" w:hAnsi="仿宋" w:eastAsia="仿宋" w:cs="仿宋"/>
          <w:sz w:val="32"/>
          <w:szCs w:val="32"/>
          <w:lang w:val="en-US" w:eastAsia="zh-CN"/>
        </w:rPr>
        <w:t>100</w:t>
      </w:r>
      <w:r>
        <w:rPr>
          <w:rFonts w:hint="eastAsia" w:ascii="仿宋" w:hAnsi="仿宋" w:eastAsia="仿宋" w:cs="仿宋"/>
          <w:sz w:val="32"/>
          <w:szCs w:val="32"/>
        </w:rPr>
        <w:t>%。其中基本支出</w:t>
      </w:r>
      <w:r>
        <w:rPr>
          <w:rFonts w:hint="eastAsia" w:ascii="仿宋" w:hAnsi="仿宋" w:eastAsia="仿宋" w:cs="仿宋"/>
          <w:color w:val="auto"/>
          <w:sz w:val="32"/>
          <w:szCs w:val="32"/>
          <w:lang w:val="en-US" w:eastAsia="zh-CN"/>
        </w:rPr>
        <w:t>2306.72</w:t>
      </w:r>
      <w:r>
        <w:rPr>
          <w:rFonts w:hint="eastAsia" w:ascii="仿宋" w:hAnsi="仿宋" w:eastAsia="仿宋" w:cs="仿宋"/>
          <w:sz w:val="32"/>
          <w:szCs w:val="32"/>
        </w:rPr>
        <w:t>万元，项目支出</w:t>
      </w:r>
      <w:r>
        <w:rPr>
          <w:rFonts w:hint="eastAsia" w:ascii="仿宋" w:hAnsi="仿宋" w:eastAsia="仿宋" w:cs="仿宋"/>
          <w:color w:val="auto"/>
          <w:sz w:val="32"/>
          <w:szCs w:val="32"/>
          <w:lang w:val="en-US" w:eastAsia="zh-CN"/>
        </w:rPr>
        <w:t>7269.48</w:t>
      </w:r>
      <w:r>
        <w:rPr>
          <w:rFonts w:hint="eastAsia" w:ascii="仿宋" w:hAnsi="仿宋" w:eastAsia="仿宋" w:cs="仿宋"/>
          <w:sz w:val="32"/>
          <w:szCs w:val="32"/>
        </w:rPr>
        <w:t>万元,</w:t>
      </w:r>
      <w:r>
        <w:rPr>
          <w:rFonts w:hint="eastAsia" w:ascii="仿宋" w:hAnsi="仿宋" w:eastAsia="仿宋" w:cs="仿宋"/>
          <w:sz w:val="32"/>
          <w:szCs w:val="32"/>
          <w:lang w:val="en-US" w:eastAsia="zh-CN"/>
        </w:rPr>
        <w:t>结转结余0万元，</w:t>
      </w:r>
      <w:r>
        <w:rPr>
          <w:rFonts w:hint="eastAsia" w:ascii="仿宋" w:hAnsi="仿宋" w:eastAsia="仿宋" w:cs="仿宋"/>
          <w:sz w:val="32"/>
          <w:szCs w:val="32"/>
        </w:rPr>
        <w:t>按照绩效自评全覆盖原则，本次绩效自评金额共计</w:t>
      </w:r>
      <w:r>
        <w:rPr>
          <w:rFonts w:hint="eastAsia" w:ascii="仿宋" w:hAnsi="仿宋" w:eastAsia="仿宋" w:cs="仿宋"/>
          <w:color w:val="auto"/>
          <w:sz w:val="32"/>
          <w:szCs w:val="32"/>
          <w:lang w:val="en-US" w:eastAsia="zh-CN"/>
        </w:rPr>
        <w:t>9576.2</w:t>
      </w:r>
      <w:r>
        <w:rPr>
          <w:rFonts w:hint="eastAsia" w:ascii="仿宋" w:hAnsi="仿宋" w:eastAsia="仿宋" w:cs="仿宋"/>
          <w:sz w:val="32"/>
          <w:szCs w:val="32"/>
        </w:rPr>
        <w:t>万元。</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二、项目支出绩效自评</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(一)预算绩效管理工作开展情况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根据预算绩效管理要求，我单位组织对2022年一般公共预算项目支出全面开展绩效自评</w:t>
      </w:r>
      <w:r>
        <w:rPr>
          <w:rFonts w:hint="eastAsia" w:ascii="仿宋" w:hAnsi="仿宋" w:eastAsia="仿宋" w:cs="仿宋"/>
          <w:sz w:val="32"/>
          <w:szCs w:val="32"/>
          <w:lang w:eastAsia="zh-CN"/>
        </w:rPr>
        <w:t>。</w:t>
      </w:r>
      <w:r>
        <w:rPr>
          <w:rFonts w:hint="eastAsia" w:ascii="仿宋" w:hAnsi="仿宋" w:eastAsia="仿宋" w:cs="仿宋"/>
          <w:sz w:val="32"/>
          <w:szCs w:val="32"/>
        </w:rPr>
        <w:t>其中，专项业务费项目</w:t>
      </w:r>
      <w:r>
        <w:rPr>
          <w:rFonts w:hint="eastAsia" w:ascii="仿宋" w:hAnsi="仿宋" w:eastAsia="仿宋" w:cs="仿宋"/>
          <w:sz w:val="32"/>
          <w:szCs w:val="32"/>
          <w:lang w:val="en-US" w:eastAsia="zh-CN"/>
        </w:rPr>
        <w:t>35</w:t>
      </w:r>
      <w:r>
        <w:rPr>
          <w:rFonts w:hint="eastAsia" w:ascii="仿宋" w:hAnsi="仿宋" w:eastAsia="仿宋" w:cs="仿宋"/>
          <w:sz w:val="32"/>
          <w:szCs w:val="32"/>
        </w:rPr>
        <w:t>个、事业发展类项目</w:t>
      </w:r>
      <w:r>
        <w:rPr>
          <w:rFonts w:hint="eastAsia" w:ascii="仿宋" w:hAnsi="仿宋" w:eastAsia="仿宋" w:cs="仿宋"/>
          <w:sz w:val="32"/>
          <w:szCs w:val="32"/>
          <w:lang w:val="en-US" w:eastAsia="zh-CN"/>
        </w:rPr>
        <w:t>0</w:t>
      </w:r>
      <w:r>
        <w:rPr>
          <w:rFonts w:hint="eastAsia" w:ascii="仿宋" w:hAnsi="仿宋" w:eastAsia="仿宋" w:cs="仿宋"/>
          <w:sz w:val="32"/>
          <w:szCs w:val="32"/>
        </w:rPr>
        <w:t>个、奖补类项目</w:t>
      </w:r>
      <w:r>
        <w:rPr>
          <w:rFonts w:hint="eastAsia" w:ascii="仿宋" w:hAnsi="仿宋" w:eastAsia="仿宋" w:cs="仿宋"/>
          <w:sz w:val="32"/>
          <w:szCs w:val="32"/>
          <w:lang w:val="en-US" w:eastAsia="zh-CN"/>
        </w:rPr>
        <w:t>0</w:t>
      </w:r>
      <w:r>
        <w:rPr>
          <w:rFonts w:hint="eastAsia" w:ascii="仿宋" w:hAnsi="仿宋" w:eastAsia="仿宋" w:cs="仿宋"/>
          <w:sz w:val="32"/>
          <w:szCs w:val="32"/>
        </w:rPr>
        <w:t>个(所有项目包含中央、省、州、县本级项目）</w:t>
      </w:r>
      <w:r>
        <w:rPr>
          <w:rFonts w:hint="eastAsia" w:ascii="仿宋" w:hAnsi="仿宋" w:eastAsia="仿宋" w:cs="仿宋"/>
          <w:sz w:val="32"/>
          <w:szCs w:val="32"/>
          <w:lang w:eastAsia="zh-CN"/>
        </w:rPr>
        <w:t>，</w:t>
      </w:r>
      <w:r>
        <w:rPr>
          <w:rFonts w:hint="eastAsia" w:ascii="仿宋" w:hAnsi="仿宋" w:eastAsia="仿宋" w:cs="仿宋"/>
          <w:sz w:val="32"/>
          <w:szCs w:val="32"/>
        </w:rPr>
        <w:t>共涉及资金</w:t>
      </w:r>
      <w:r>
        <w:rPr>
          <w:rFonts w:hint="eastAsia" w:ascii="仿宋" w:hAnsi="仿宋" w:eastAsia="仿宋" w:cs="仿宋"/>
          <w:color w:val="auto"/>
          <w:sz w:val="32"/>
          <w:szCs w:val="32"/>
          <w:lang w:val="en-US" w:eastAsia="zh-CN"/>
        </w:rPr>
        <w:t>7269.48</w:t>
      </w:r>
      <w:r>
        <w:rPr>
          <w:rFonts w:hint="eastAsia" w:ascii="仿宋" w:hAnsi="仿宋" w:eastAsia="仿宋" w:cs="仿宋"/>
          <w:sz w:val="32"/>
          <w:szCs w:val="32"/>
        </w:rPr>
        <w:t>万元，占一般公共预算项目支出总额的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2022年无政府性基金项目支出</w:t>
      </w:r>
      <w:r>
        <w:rPr>
          <w:rFonts w:hint="eastAsia" w:ascii="仿宋" w:hAnsi="仿宋" w:eastAsia="仿宋" w:cs="仿宋"/>
          <w:sz w:val="32"/>
          <w:szCs w:val="32"/>
          <w:lang w:eastAsia="zh-CN"/>
        </w:rPr>
        <w:t>。</w:t>
      </w:r>
    </w:p>
    <w:p>
      <w:pPr>
        <w:ind w:firstLine="640" w:firstLineChars="200"/>
        <w:rPr>
          <w:rFonts w:hint="eastAsia" w:ascii="仿宋" w:hAnsi="仿宋" w:eastAsia="仿宋" w:cs="仿宋"/>
          <w:color w:val="0000FF"/>
          <w:sz w:val="32"/>
          <w:szCs w:val="32"/>
        </w:rPr>
      </w:pPr>
      <w:r>
        <w:rPr>
          <w:rFonts w:hint="eastAsia" w:ascii="仿宋" w:hAnsi="仿宋" w:eastAsia="仿宋" w:cs="仿宋"/>
          <w:sz w:val="32"/>
          <w:szCs w:val="32"/>
        </w:rPr>
        <w:t>2022年无国有资本经营项目支出</w:t>
      </w:r>
      <w:r>
        <w:rPr>
          <w:rFonts w:hint="eastAsia" w:ascii="仿宋" w:hAnsi="仿宋" w:eastAsia="仿宋" w:cs="仿宋"/>
          <w:sz w:val="32"/>
          <w:szCs w:val="32"/>
          <w:lang w:eastAsia="zh-CN"/>
        </w:rPr>
        <w:t>。</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(二)部门决算中项目绩效自评结果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增减挂项目技术服务费</w:t>
      </w:r>
      <w:r>
        <w:rPr>
          <w:rFonts w:hint="eastAsia" w:ascii="仿宋_GB2312" w:hAnsi="仿宋_GB2312" w:eastAsia="仿宋_GB2312" w:cs="仿宋_GB2312"/>
          <w:color w:val="auto"/>
          <w:sz w:val="32"/>
          <w:szCs w:val="32"/>
        </w:rPr>
        <w:t>项目绩效自评综述：根据年初设定的绩效目标，项目自评得分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分。项目全年预算数</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万元，执行数</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%。主要产出和效果：</w:t>
      </w:r>
      <w:r>
        <w:rPr>
          <w:rFonts w:hint="eastAsia" w:ascii="仿宋_GB2312" w:hAnsi="仿宋_GB2312" w:eastAsia="仿宋_GB2312" w:cs="仿宋_GB2312"/>
          <w:color w:val="auto"/>
          <w:sz w:val="32"/>
          <w:szCs w:val="32"/>
          <w:lang w:val="en-US" w:eastAsia="zh-CN"/>
        </w:rPr>
        <w:t>通过项目实施，受理7个建设用地项目，完成1宗</w:t>
      </w:r>
      <w:r>
        <w:rPr>
          <w:rFonts w:hint="eastAsia" w:ascii="仿宋_GB2312" w:hAnsi="仿宋_GB2312" w:eastAsia="仿宋_GB2312" w:cs="仿宋_GB2312"/>
          <w:sz w:val="32"/>
          <w:szCs w:val="32"/>
          <w:highlight w:val="none"/>
          <w:lang w:val="en-US" w:eastAsia="zh-CN"/>
        </w:rPr>
        <w:t>农用地转用审批用地，</w:t>
      </w:r>
      <w:r>
        <w:rPr>
          <w:rFonts w:hint="eastAsia" w:ascii="仿宋_GB2312" w:hAnsi="仿宋_GB2312" w:eastAsia="仿宋_GB2312" w:cs="仿宋_GB2312"/>
          <w:sz w:val="32"/>
          <w:szCs w:val="32"/>
          <w:highlight w:val="none"/>
        </w:rPr>
        <w:t>办理国有土地使用权审批</w:t>
      </w:r>
      <w:r>
        <w:rPr>
          <w:rFonts w:hint="eastAsia" w:ascii="仿宋_GB2312" w:hAnsi="仿宋_GB2312" w:eastAsia="仿宋_GB2312" w:cs="仿宋_GB2312"/>
          <w:sz w:val="32"/>
          <w:szCs w:val="32"/>
          <w:highlight w:val="none"/>
          <w:lang w:val="en-US" w:eastAsia="zh-CN"/>
        </w:rPr>
        <w:t>133</w:t>
      </w:r>
      <w:r>
        <w:rPr>
          <w:rFonts w:hint="eastAsia" w:ascii="仿宋_GB2312" w:hAnsi="仿宋_GB2312" w:eastAsia="仿宋_GB2312" w:cs="仿宋_GB2312"/>
          <w:sz w:val="32"/>
          <w:szCs w:val="32"/>
          <w:highlight w:val="none"/>
        </w:rPr>
        <w:t>宗，土地面积</w:t>
      </w:r>
      <w:r>
        <w:rPr>
          <w:rFonts w:hint="eastAsia" w:ascii="仿宋_GB2312" w:hAnsi="仿宋_GB2312" w:eastAsia="仿宋_GB2312" w:cs="仿宋_GB2312"/>
          <w:sz w:val="32"/>
          <w:szCs w:val="32"/>
          <w:highlight w:val="none"/>
          <w:lang w:val="en-US" w:eastAsia="zh-CN"/>
        </w:rPr>
        <w:t>30.8777</w:t>
      </w:r>
      <w:r>
        <w:rPr>
          <w:rFonts w:hint="eastAsia" w:ascii="仿宋_GB2312" w:hAnsi="仿宋_GB2312" w:eastAsia="仿宋_GB2312" w:cs="仿宋_GB2312"/>
          <w:sz w:val="32"/>
          <w:szCs w:val="32"/>
          <w:highlight w:val="none"/>
        </w:rPr>
        <w:t>公顷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有效保障了建设用地发展需求。</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办公及委托业务费用、设计费等</w:t>
      </w:r>
      <w:r>
        <w:rPr>
          <w:rFonts w:hint="eastAsia" w:ascii="仿宋_GB2312" w:hAnsi="仿宋_GB2312" w:eastAsia="仿宋_GB2312" w:cs="仿宋_GB2312"/>
          <w:color w:val="auto"/>
          <w:sz w:val="32"/>
          <w:szCs w:val="32"/>
        </w:rPr>
        <w:t>项目绩效自评综述：根据年初设定的绩效目标，项目自评得分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分。项目全年预算数</w:t>
      </w:r>
      <w:r>
        <w:rPr>
          <w:rFonts w:hint="eastAsia" w:ascii="仿宋_GB2312" w:hAnsi="仿宋_GB2312" w:eastAsia="仿宋_GB2312" w:cs="仿宋_GB2312"/>
          <w:color w:val="auto"/>
          <w:sz w:val="32"/>
          <w:szCs w:val="32"/>
          <w:lang w:val="en-US" w:eastAsia="zh-CN"/>
        </w:rPr>
        <w:t>525.54</w:t>
      </w:r>
      <w:r>
        <w:rPr>
          <w:rFonts w:hint="eastAsia" w:ascii="仿宋_GB2312" w:hAnsi="仿宋_GB2312" w:eastAsia="仿宋_GB2312" w:cs="仿宋_GB2312"/>
          <w:color w:val="auto"/>
          <w:sz w:val="32"/>
          <w:szCs w:val="32"/>
        </w:rPr>
        <w:t>万元，执行数</w:t>
      </w:r>
      <w:r>
        <w:rPr>
          <w:rFonts w:hint="eastAsia" w:ascii="仿宋_GB2312" w:hAnsi="仿宋_GB2312" w:eastAsia="仿宋_GB2312" w:cs="仿宋_GB2312"/>
          <w:color w:val="auto"/>
          <w:sz w:val="32"/>
          <w:szCs w:val="32"/>
          <w:lang w:val="en-US" w:eastAsia="zh-CN"/>
        </w:rPr>
        <w:t>525.54</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%。主要产出和效果：</w:t>
      </w:r>
      <w:r>
        <w:rPr>
          <w:rFonts w:hint="eastAsia" w:ascii="仿宋_GB2312" w:hAnsi="仿宋_GB2312" w:eastAsia="仿宋_GB2312" w:cs="仿宋_GB2312"/>
          <w:color w:val="auto"/>
          <w:sz w:val="32"/>
          <w:szCs w:val="32"/>
          <w:lang w:val="en-US" w:eastAsia="zh-CN"/>
        </w:rPr>
        <w:t>通过项目实施，完成18个村庄规划编制，有效提高了村庄的规划设计水平，改善了乡村建设面貌。</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（3）土地征收项目</w:t>
      </w:r>
      <w:r>
        <w:rPr>
          <w:rFonts w:hint="eastAsia" w:ascii="仿宋_GB2312" w:hAnsi="仿宋_GB2312" w:eastAsia="仿宋_GB2312" w:cs="仿宋_GB2312"/>
          <w:color w:val="auto"/>
          <w:sz w:val="32"/>
          <w:szCs w:val="32"/>
        </w:rPr>
        <w:t>绩效自评综述：根据年初设定的绩效目标，项目自评得分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分。项目全年预算数</w:t>
      </w:r>
      <w:r>
        <w:rPr>
          <w:rFonts w:hint="eastAsia" w:ascii="仿宋_GB2312" w:hAnsi="仿宋_GB2312" w:eastAsia="仿宋_GB2312" w:cs="仿宋_GB2312"/>
          <w:color w:val="auto"/>
          <w:sz w:val="32"/>
          <w:szCs w:val="32"/>
          <w:lang w:val="en-US" w:eastAsia="zh-CN"/>
        </w:rPr>
        <w:t>245.39</w:t>
      </w:r>
      <w:r>
        <w:rPr>
          <w:rFonts w:hint="eastAsia" w:ascii="仿宋_GB2312" w:hAnsi="仿宋_GB2312" w:eastAsia="仿宋_GB2312" w:cs="仿宋_GB2312"/>
          <w:color w:val="auto"/>
          <w:sz w:val="32"/>
          <w:szCs w:val="32"/>
        </w:rPr>
        <w:t>万元，执行数</w:t>
      </w:r>
      <w:r>
        <w:rPr>
          <w:rFonts w:hint="eastAsia" w:ascii="仿宋_GB2312" w:hAnsi="仿宋_GB2312" w:eastAsia="仿宋_GB2312" w:cs="仿宋_GB2312"/>
          <w:color w:val="auto"/>
          <w:sz w:val="32"/>
          <w:szCs w:val="32"/>
          <w:lang w:val="en-US" w:eastAsia="zh-CN"/>
        </w:rPr>
        <w:t>245.39</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%。主要产出和效果：</w:t>
      </w:r>
      <w:r>
        <w:rPr>
          <w:rFonts w:hint="eastAsia" w:ascii="仿宋_GB2312" w:hAnsi="仿宋_GB2312" w:eastAsia="仿宋_GB2312" w:cs="仿宋_GB2312"/>
          <w:color w:val="auto"/>
          <w:sz w:val="32"/>
          <w:szCs w:val="32"/>
          <w:lang w:val="en-US" w:eastAsia="zh-CN"/>
        </w:rPr>
        <w:t>通过项目实施，</w:t>
      </w:r>
      <w:r>
        <w:rPr>
          <w:rFonts w:hint="eastAsia" w:ascii="仿宋_GB2312" w:hAnsi="仿宋_GB2312" w:eastAsia="仿宋_GB2312" w:cs="仿宋_GB2312"/>
          <w:sz w:val="32"/>
          <w:szCs w:val="32"/>
          <w:highlight w:val="none"/>
          <w:lang w:val="en-US" w:eastAsia="zh-CN"/>
        </w:rPr>
        <w:t>申报土地开发及旱改水项目共23个，建设总规模为1651.03亩，其中土地开发项目12个共897.95亩，旱改水项目11个共753.08亩，。</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（4）方解石详查项目</w:t>
      </w:r>
      <w:r>
        <w:rPr>
          <w:rFonts w:hint="eastAsia" w:ascii="仿宋_GB2312" w:hAnsi="仿宋_GB2312" w:eastAsia="仿宋_GB2312" w:cs="仿宋_GB2312"/>
          <w:color w:val="auto"/>
          <w:sz w:val="32"/>
          <w:szCs w:val="32"/>
        </w:rPr>
        <w:t>绩效自评综述：根据年初设定的绩效目标，项目自评得分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分。项目全年预算数</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万元，执行数</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%。主要产出和效果：</w:t>
      </w:r>
      <w:r>
        <w:rPr>
          <w:rFonts w:hint="eastAsia" w:ascii="仿宋_GB2312" w:hAnsi="仿宋_GB2312" w:eastAsia="仿宋_GB2312" w:cs="仿宋_GB2312"/>
          <w:color w:val="auto"/>
          <w:sz w:val="32"/>
          <w:szCs w:val="32"/>
          <w:lang w:val="en-US" w:eastAsia="zh-CN"/>
        </w:rPr>
        <w:t>通过项目实施，</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探获方解石资源量226万吨</w:t>
      </w:r>
      <w:r>
        <w:rPr>
          <w:rFonts w:hint="eastAsia" w:ascii="仿宋_GB2312" w:hAnsi="仿宋_GB2312" w:eastAsia="仿宋_GB2312" w:cs="仿宋_GB2312"/>
          <w:sz w:val="32"/>
          <w:szCs w:val="32"/>
          <w:highlight w:val="none"/>
          <w:lang w:val="en-US" w:eastAsia="zh-CN"/>
        </w:rPr>
        <w:t>，</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办理晓光新材料科技（湘西）有限公司转让、延续、变更更盛华隆公司八铁帽方解石矿采矿权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完成本县矿产资源摸底，提高了自然资源保护能力</w:t>
      </w:r>
      <w:r>
        <w:rPr>
          <w:rFonts w:hint="eastAsia" w:ascii="仿宋_GB2312" w:hAnsi="仿宋_GB2312" w:eastAsia="仿宋_GB2312" w:cs="仿宋_GB2312"/>
          <w:color w:val="auto"/>
          <w:sz w:val="32"/>
          <w:szCs w:val="32"/>
          <w:lang w:val="en-US" w:eastAsia="zh-CN"/>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（5）地质灾害治理工程项目</w:t>
      </w:r>
      <w:r>
        <w:rPr>
          <w:rFonts w:hint="eastAsia" w:ascii="仿宋_GB2312" w:hAnsi="仿宋_GB2312" w:eastAsia="仿宋_GB2312" w:cs="仿宋_GB2312"/>
          <w:color w:val="auto"/>
          <w:sz w:val="32"/>
          <w:szCs w:val="32"/>
        </w:rPr>
        <w:t>绩效自评综述：根据年初设定的绩效目标，项目自评得分</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分。项目全年预算数</w:t>
      </w:r>
      <w:r>
        <w:rPr>
          <w:rFonts w:hint="eastAsia" w:ascii="仿宋_GB2312" w:hAnsi="仿宋_GB2312" w:eastAsia="仿宋_GB2312" w:cs="仿宋_GB2312"/>
          <w:color w:val="auto"/>
          <w:sz w:val="32"/>
          <w:szCs w:val="32"/>
          <w:lang w:val="en-US" w:eastAsia="zh-CN"/>
        </w:rPr>
        <w:t>308.16</w:t>
      </w:r>
      <w:r>
        <w:rPr>
          <w:rFonts w:hint="eastAsia" w:ascii="仿宋_GB2312" w:hAnsi="仿宋_GB2312" w:eastAsia="仿宋_GB2312" w:cs="仿宋_GB2312"/>
          <w:color w:val="auto"/>
          <w:sz w:val="32"/>
          <w:szCs w:val="32"/>
        </w:rPr>
        <w:t>万元，执行数</w:t>
      </w:r>
      <w:r>
        <w:rPr>
          <w:rFonts w:hint="eastAsia" w:ascii="仿宋_GB2312" w:hAnsi="仿宋_GB2312" w:eastAsia="仿宋_GB2312" w:cs="仿宋_GB2312"/>
          <w:color w:val="auto"/>
          <w:sz w:val="32"/>
          <w:szCs w:val="32"/>
          <w:lang w:val="en-US" w:eastAsia="zh-CN"/>
        </w:rPr>
        <w:t>308.16</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%。主要产出和效果：</w:t>
      </w:r>
      <w:r>
        <w:rPr>
          <w:rFonts w:hint="eastAsia" w:ascii="仿宋_GB2312" w:hAnsi="仿宋_GB2312" w:eastAsia="仿宋_GB2312" w:cs="仿宋_GB2312"/>
          <w:color w:val="auto"/>
          <w:sz w:val="32"/>
          <w:szCs w:val="32"/>
          <w:lang w:val="en-US" w:eastAsia="zh-CN"/>
        </w:rPr>
        <w:t>通过项目实施，</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14:textFill>
            <w14:solidFill>
              <w14:schemeClr w14:val="tx1"/>
            </w14:solidFill>
          </w14:textFill>
        </w:rPr>
        <w:t>地质灾害隐患点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148</w:t>
      </w:r>
      <w:r>
        <w:rPr>
          <w:rFonts w:hint="eastAsia" w:ascii="仿宋_GB2312" w:hAnsi="仿宋_GB2312" w:eastAsia="仿宋_GB2312" w:cs="仿宋_GB2312"/>
          <w:color w:val="000000" w:themeColor="text1"/>
          <w:sz w:val="32"/>
          <w:szCs w:val="32"/>
          <w:highlight w:val="none"/>
          <w14:textFill>
            <w14:solidFill>
              <w14:schemeClr w14:val="tx1"/>
            </w14:solidFill>
          </w14:textFill>
        </w:rPr>
        <w:t>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（其中公路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48处，学校3处，农田5处，粮库1处），</w:t>
      </w:r>
      <w:r>
        <w:rPr>
          <w:rFonts w:hint="eastAsia" w:ascii="仿宋_GB2312" w:hAnsi="仿宋_GB2312" w:eastAsia="仿宋_GB2312" w:cs="仿宋_GB2312"/>
          <w:color w:val="000000" w:themeColor="text1"/>
          <w:sz w:val="32"/>
          <w:szCs w:val="32"/>
          <w:highlight w:val="none"/>
          <w14:textFill>
            <w14:solidFill>
              <w14:schemeClr w14:val="tx1"/>
            </w14:solidFill>
          </w14:textFill>
        </w:rPr>
        <w:t>大型地质灾害隐患点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处，中型地质灾害隐患点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highlight w:val="none"/>
          <w14:textFill>
            <w14:solidFill>
              <w14:schemeClr w14:val="tx1"/>
            </w14:solidFill>
          </w14:textFill>
        </w:rPr>
        <w:t>处，小型地质灾害隐患点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130</w:t>
      </w:r>
      <w:r>
        <w:rPr>
          <w:rFonts w:hint="eastAsia" w:ascii="仿宋_GB2312" w:hAnsi="仿宋_GB2312" w:eastAsia="仿宋_GB2312" w:cs="仿宋_GB2312"/>
          <w:color w:val="000000" w:themeColor="text1"/>
          <w:sz w:val="32"/>
          <w:szCs w:val="32"/>
          <w:highlight w:val="none"/>
          <w14:textFill>
            <w14:solidFill>
              <w14:schemeClr w14:val="tx1"/>
            </w14:solidFill>
          </w14:textFill>
        </w:rPr>
        <w:t>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探查工作，派出166组643人次下基层巡查，对全县乡镇2557户切坡建房进行核查，组织198户1574名人员安全转移，提高了全县地质灾害应对能力</w:t>
      </w:r>
      <w:r>
        <w:rPr>
          <w:rFonts w:hint="eastAsia" w:ascii="仿宋_GB2312" w:hAnsi="仿宋_GB2312" w:eastAsia="仿宋_GB2312" w:cs="仿宋_GB2312"/>
          <w:color w:val="auto"/>
          <w:sz w:val="32"/>
          <w:szCs w:val="32"/>
          <w:lang w:val="en-US" w:eastAsia="zh-CN"/>
        </w:rPr>
        <w:t>。</w:t>
      </w:r>
    </w:p>
    <w:p>
      <w:pPr>
        <w:ind w:firstLine="643" w:firstLineChars="200"/>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三、单位预算绩效管理主要经验及做法</w:t>
      </w:r>
    </w:p>
    <w:p>
      <w:pPr>
        <w:ind w:firstLine="640" w:firstLineChars="200"/>
        <w:rPr>
          <w:rFonts w:hint="default" w:ascii="仿宋" w:hAnsi="仿宋" w:eastAsia="仿宋_GB2312"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做好空间规划和保障用地，服务建设发展。完成18个村庄规划编制，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纳入国土空间规划“一张图”管理，通过规划引导，推动打造各具特色的美丽村庄，</w:t>
      </w:r>
      <w:r>
        <w:rPr>
          <w:rFonts w:hint="eastAsia" w:ascii="仿宋_GB2312" w:hAnsi="仿宋_GB2312" w:eastAsia="仿宋_GB2312" w:cs="仿宋_GB2312"/>
          <w:sz w:val="32"/>
          <w:szCs w:val="32"/>
          <w:highlight w:val="none"/>
          <w:lang w:val="en-US" w:eastAsia="zh-CN"/>
        </w:rPr>
        <w:t>受理的共7个建设用地项目，</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新增储备土地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10.95</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亩，其他国有建设用地收储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17.64亩，</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控制储备土地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345.2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亩；完成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征收土地面积共计253.6亩、迁坟共计181座、房屋及水池共计2个，</w:t>
      </w:r>
      <w:r>
        <w:rPr>
          <w:rFonts w:hint="eastAsia" w:ascii="仿宋_GB2312" w:hAnsi="仿宋_GB2312" w:eastAsia="仿宋_GB2312" w:cs="仿宋_GB2312"/>
          <w:sz w:val="32"/>
          <w:szCs w:val="32"/>
          <w:highlight w:val="none"/>
        </w:rPr>
        <w:t>办理</w:t>
      </w:r>
      <w:r>
        <w:rPr>
          <w:rFonts w:hint="eastAsia" w:ascii="仿宋_GB2312" w:hAnsi="仿宋_GB2312" w:eastAsia="仿宋_GB2312" w:cs="仿宋_GB2312"/>
          <w:sz w:val="32"/>
          <w:szCs w:val="32"/>
          <w:highlight w:val="none"/>
          <w:lang w:val="en-US" w:eastAsia="zh-CN"/>
        </w:rPr>
        <w:t>113宗</w:t>
      </w:r>
      <w:r>
        <w:rPr>
          <w:rFonts w:hint="eastAsia" w:ascii="仿宋_GB2312" w:hAnsi="仿宋_GB2312" w:eastAsia="仿宋_GB2312" w:cs="仿宋_GB2312"/>
          <w:sz w:val="32"/>
          <w:szCs w:val="32"/>
          <w:highlight w:val="none"/>
        </w:rPr>
        <w:t>国有土地使用权审批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推动县域经济发展。</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推动田长制和耕地宣传，落实耕地保护责任。</w:t>
      </w:r>
      <w:r>
        <w:rPr>
          <w:rFonts w:hint="eastAsia" w:ascii="仿宋_GB2312" w:hAnsi="仿宋_GB2312" w:eastAsia="仿宋_GB2312" w:cs="仿宋_GB2312"/>
          <w:sz w:val="32"/>
          <w:szCs w:val="32"/>
          <w:highlight w:val="none"/>
          <w:lang w:val="en-US" w:eastAsia="zh-CN"/>
        </w:rPr>
        <w:t>举办县直各部门、各乡镇主要负责人参加的“一法一条例一办法”学习培训会，将耕地保护纳入县委县政府绩效和目标管理考核，2020年度土地调查监测数据我县耕地保护底数为13.468665万亩，其中水田10.345245万亩，旱地3.12342万亩，与全县103个行政村签订耕地保护责任书，</w:t>
      </w:r>
      <w:r>
        <w:rPr>
          <w:rFonts w:hint="eastAsia" w:ascii="仿宋_GB2312" w:hAnsi="仿宋_GB2312" w:eastAsia="仿宋_GB2312" w:cs="仿宋_GB2312"/>
          <w:kern w:val="2"/>
          <w:sz w:val="32"/>
          <w:szCs w:val="32"/>
          <w:highlight w:val="none"/>
          <w:lang w:val="en-US" w:eastAsia="zh-CN" w:bidi="ar-SA"/>
        </w:rPr>
        <w:t>明确镇级田长、副田长80名，镇级督察长7名，村级田长103名及网格田长897名，建立“一长两网三员七机制”的村级网格化管理体系，将耕地保护落到个人、落到实处。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多途径补充耕地，夯实农业发展基石。补充耕地项目共12个，</w:t>
      </w:r>
      <w:r>
        <w:rPr>
          <w:rFonts w:hint="eastAsia" w:ascii="仿宋_GB2312" w:hAnsi="仿宋_GB2312" w:eastAsia="仿宋_GB2312" w:cs="仿宋_GB2312"/>
          <w:sz w:val="32"/>
          <w:szCs w:val="32"/>
          <w:highlight w:val="none"/>
          <w:lang w:val="en-US" w:eastAsia="zh-CN"/>
        </w:rPr>
        <w:t>新增耕地面积57.81公顷（水田41.86公顷，旱地15.94公顷），实现耕地数量、水田规模和粮食产能三项指标全部转正。已完成500亩恢复任务，发进出平衡耕地流向其他农用地图斑共51个，</w:t>
      </w:r>
      <w:r>
        <w:rPr>
          <w:rFonts w:hint="eastAsia" w:ascii="仿宋_GB2312" w:hAnsi="仿宋_GB2312" w:eastAsia="仿宋_GB2312" w:cs="仿宋_GB2312"/>
          <w:b w:val="0"/>
          <w:bCs w:val="0"/>
          <w:sz w:val="32"/>
          <w:szCs w:val="32"/>
          <w:highlight w:val="none"/>
          <w:lang w:val="en-US" w:eastAsia="zh-CN"/>
        </w:rPr>
        <w:t>保留的永久基本农田面积为4749.9公顷，</w:t>
      </w:r>
      <w:r>
        <w:rPr>
          <w:rFonts w:hint="eastAsia" w:ascii="仿宋_GB2312" w:hAnsi="仿宋_GB2312" w:eastAsia="仿宋_GB2312" w:cs="仿宋_GB2312"/>
          <w:sz w:val="32"/>
          <w:szCs w:val="32"/>
          <w:highlight w:val="none"/>
          <w:lang w:val="en-US" w:eastAsia="zh-CN"/>
        </w:rPr>
        <w:t>补划永久基本农田3225.03公顷，申报土地开发及旱改水项目共23个，建设总规模为1651.03亩，其中土地开发项目12个共897.95亩，旱改水项目11个共753.08亩，多途径进行耕地补充，守住耕地红线，促进农业发展。</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lang w:val="en-US" w:eastAsia="zh-CN"/>
        </w:rPr>
        <w:t>（4）加强资源保护，深入践行绿色发展理念。古丈县现有采矿权51个，其中省级登记发证12个，过期8个（锰矿9个，磷矿1个、水泥用灰岩1个、钒矿1个）；州级登记发证12个，过期10个（水泥配料用页岩1个、建筑用辉绿岩1个、饰面用大理石2个、重晶石1个、方解石4个、磷矿3个）；县级发证27个，其中，建筑石料用灰岩14个（均已关闭注销）</w:t>
      </w:r>
      <w:r>
        <w:rPr>
          <w:rFonts w:hint="eastAsia" w:ascii="仿宋_GB2312" w:hAnsi="仿宋_GB2312" w:eastAsia="仿宋_GB2312" w:cs="仿宋_GB2312"/>
          <w:color w:val="auto"/>
          <w:spacing w:val="0"/>
          <w:position w:val="0"/>
          <w:sz w:val="32"/>
          <w:szCs w:val="32"/>
          <w:shd w:val="clear" w:fill="auto"/>
          <w:lang w:val="en-US"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《湖南省湘西土家族苗族自治州古丈县历史遗留矿山生态修复实施方案（</w:t>
      </w:r>
      <w:r>
        <w:rPr>
          <w:rFonts w:hint="eastAsia" w:ascii="仿宋_GB2312" w:hAnsi="仿宋_GB2312" w:eastAsia="仿宋_GB2312" w:cs="仿宋_GB2312"/>
          <w:color w:val="000000" w:themeColor="text1"/>
          <w:sz w:val="32"/>
          <w:szCs w:val="32"/>
          <w:highlight w:val="none"/>
          <w14:textFill>
            <w14:solidFill>
              <w14:schemeClr w14:val="tx1"/>
            </w14:solidFill>
          </w14:textFill>
        </w:rPr>
        <w:t>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2-2025年）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治理废弃矿山生态修复项目34个，其中废弃采石场29个，废弃作业区5个，完成矿山治理，实现绿色健康发展。</w:t>
      </w:r>
    </w:p>
    <w:p>
      <w:pPr>
        <w:ind w:firstLine="640" w:firstLineChars="200"/>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（5）打响土地违规攻坚战，维护自然资源管理秩序。</w:t>
      </w:r>
      <w:r>
        <w:rPr>
          <w:rFonts w:hint="eastAsia" w:ascii="仿宋_GB2312" w:hAnsi="仿宋_GB2312" w:eastAsia="仿宋_GB2312" w:cs="仿宋_GB2312"/>
          <w:color w:val="000000" w:themeColor="text1"/>
          <w:sz w:val="32"/>
          <w:szCs w:val="32"/>
          <w:highlight w:val="none"/>
          <w14:textFill>
            <w14:solidFill>
              <w14:schemeClr w14:val="tx1"/>
            </w14:solidFill>
          </w14:textFill>
        </w:rPr>
        <w:t>一季度，土地卫片情况：下发个数84个，填报卫片个数84个，填报率100%，其中违法图斑个数13个，违法图斑监测面积37.7亩，违法图斑耕地面积16.56亩，违法图斑永久基本农田面积11.24亩。矿产卫片情况：下发矿产卫片个数20个，填报卫片个数20个，填报率100%，其中违法图斑个数7个。二季度：土地卫片情况：下发个数46个，填报卫片个数46个，填报率100%，其中违法图斑个数7个，违法图斑监测面积13.98亩，违未占耕地。矿产卫片情况：下发矿产卫片个数2个，填报卫片个数2个，填报率100%，其中违法图斑个数0个。</w:t>
      </w:r>
      <w:r>
        <w:rPr>
          <w:rFonts w:hint="eastAsia" w:ascii="仿宋_GB2312" w:hAnsi="仿宋_GB2312" w:eastAsia="仿宋_GB2312" w:cs="仿宋_GB2312"/>
          <w:b w:val="0"/>
          <w:bCs w:val="0"/>
          <w:color w:val="000000" w:themeColor="text1"/>
          <w:kern w:val="0"/>
          <w:sz w:val="32"/>
          <w:szCs w:val="32"/>
          <w:highlight w:val="none"/>
          <w:lang w:val="en-US" w:eastAsia="zh-CN" w:bidi="ar-SA"/>
          <w14:textFill>
            <w14:solidFill>
              <w14:schemeClr w14:val="tx1"/>
            </w14:solidFill>
          </w14:textFill>
        </w:rPr>
        <w:t>违法用地整改37宗，</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上级自然资源例行督察共</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86</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个反馈问题，</w:t>
      </w: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已整改到位77宗，整改到位率89.53%。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14:textFill>
            <w14:solidFill>
              <w14:schemeClr w14:val="tx1"/>
            </w14:solidFill>
          </w14:textFill>
        </w:rPr>
        <w:t>（6）深化“放管服”改革，优化营商环境。不动产登记发证2568宗，</w:t>
      </w:r>
      <w:r>
        <w:rPr>
          <w:rFonts w:hint="eastAsia" w:ascii="仿宋_GB2312" w:hAnsi="仿宋_GB2312" w:eastAsia="仿宋_GB2312" w:cs="仿宋_GB2312"/>
          <w:color w:val="000000"/>
          <w:sz w:val="32"/>
          <w:szCs w:val="32"/>
          <w:highlight w:val="none"/>
        </w:rPr>
        <w:t>其中不动产证书发放1166本，证明发放1402本</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rPr>
        <w:t>将（交易、税务、登记）窗口和（水、电、气）多个窗口优化整合，工作职能集中在一窗，实现“三窗”合为一，实行“一窗受理”、“推送办理”“一站式”办结。</w:t>
      </w:r>
      <w:r>
        <w:rPr>
          <w:rFonts w:hint="eastAsia" w:ascii="仿宋_GB2312" w:hAnsi="仿宋_GB2312" w:eastAsia="仿宋_GB2312" w:cs="仿宋_GB2312"/>
          <w:color w:val="auto"/>
          <w:kern w:val="0"/>
          <w:sz w:val="32"/>
          <w:szCs w:val="32"/>
          <w:highlight w:val="none"/>
          <w:shd w:val="clear" w:color="auto" w:fill="FFFFFF"/>
        </w:rPr>
        <w:t>将不动产登记政务服务“办事指南”实行“扫码服务”的新颖优化模式，同时不动产登记信息查询</w:t>
      </w:r>
      <w:r>
        <w:rPr>
          <w:rFonts w:hint="eastAsia" w:ascii="仿宋_GB2312" w:hAnsi="仿宋_GB2312" w:eastAsia="仿宋_GB2312" w:cs="仿宋_GB2312"/>
          <w:color w:val="auto"/>
          <w:kern w:val="0"/>
          <w:sz w:val="32"/>
          <w:szCs w:val="32"/>
          <w:highlight w:val="none"/>
          <w:shd w:val="clear" w:color="auto" w:fill="FFFFFF"/>
          <w:lang w:eastAsia="zh-CN"/>
        </w:rPr>
        <w:t>均通过</w:t>
      </w:r>
      <w:r>
        <w:rPr>
          <w:rFonts w:hint="eastAsia" w:ascii="仿宋_GB2312" w:hAnsi="仿宋_GB2312" w:eastAsia="仿宋_GB2312" w:cs="仿宋_GB2312"/>
          <w:color w:val="auto"/>
          <w:kern w:val="0"/>
          <w:sz w:val="32"/>
          <w:szCs w:val="32"/>
          <w:highlight w:val="none"/>
          <w:shd w:val="clear" w:color="auto" w:fill="FFFFFF"/>
        </w:rPr>
        <w:t>“湖南省不动产”、</w:t>
      </w:r>
      <w:r>
        <w:rPr>
          <w:rFonts w:hint="eastAsia" w:ascii="仿宋_GB2312" w:hAnsi="仿宋_GB2312" w:eastAsia="仿宋_GB2312" w:cs="仿宋_GB2312"/>
          <w:color w:val="auto"/>
          <w:sz w:val="32"/>
          <w:szCs w:val="32"/>
          <w:highlight w:val="none"/>
          <w:shd w:val="clear" w:color="auto" w:fill="FFFFFF"/>
        </w:rPr>
        <w:t>“一窗办事平台”、“县不动产登记中心微信公众号”、“支付宝扫码”等多种方式，实行“掌上查”，</w:t>
      </w:r>
      <w:r>
        <w:rPr>
          <w:rFonts w:hint="eastAsia" w:ascii="仿宋_GB2312" w:hAnsi="仿宋_GB2312" w:eastAsia="仿宋_GB2312" w:cs="仿宋_GB2312"/>
          <w:color w:val="auto"/>
          <w:kern w:val="0"/>
          <w:sz w:val="32"/>
          <w:szCs w:val="32"/>
          <w:highlight w:val="none"/>
          <w:shd w:val="clear" w:color="auto" w:fill="FFFFFF"/>
        </w:rPr>
        <w:t>使</w:t>
      </w:r>
      <w:r>
        <w:rPr>
          <w:rFonts w:hint="eastAsia" w:ascii="仿宋_GB2312" w:hAnsi="仿宋_GB2312" w:eastAsia="仿宋_GB2312" w:cs="仿宋_GB2312"/>
          <w:color w:val="auto"/>
          <w:sz w:val="32"/>
          <w:szCs w:val="32"/>
          <w:highlight w:val="none"/>
          <w:shd w:val="clear" w:color="auto" w:fill="FFFFFF"/>
        </w:rPr>
        <w:t>信息获取、查询业务服务更高效、便捷</w:t>
      </w:r>
      <w:r>
        <w:rPr>
          <w:rFonts w:hint="eastAsia" w:ascii="仿宋_GB2312" w:hAnsi="仿宋_GB2312" w:eastAsia="仿宋_GB2312" w:cs="仿宋_GB2312"/>
          <w:color w:val="auto"/>
          <w:kern w:val="0"/>
          <w:sz w:val="32"/>
          <w:szCs w:val="32"/>
          <w:highlight w:val="none"/>
          <w:shd w:val="clear" w:color="auto" w:fill="FFFFFF"/>
        </w:rPr>
        <w:t>，实现“数据多跑腿，群众少跑腿”。</w:t>
      </w:r>
      <w:r>
        <w:rPr>
          <w:rFonts w:hint="eastAsia" w:ascii="仿宋_GB2312" w:hAnsi="仿宋_GB2312" w:eastAsia="仿宋_GB2312" w:cs="仿宋_GB2312"/>
          <w:b/>
          <w:bCs/>
          <w:color w:val="auto"/>
          <w:kern w:val="0"/>
          <w:sz w:val="32"/>
          <w:szCs w:val="32"/>
          <w:highlight w:val="none"/>
          <w:shd w:val="clear" w:color="auto" w:fill="FFFFFF"/>
          <w:lang w:eastAsia="zh-CN"/>
        </w:rPr>
        <w:t>三是</w:t>
      </w:r>
      <w:r>
        <w:rPr>
          <w:rFonts w:hint="eastAsia" w:ascii="仿宋_GB2312" w:hAnsi="仿宋_GB2312" w:eastAsia="仿宋_GB2312" w:cs="仿宋_GB2312"/>
          <w:color w:val="auto"/>
          <w:kern w:val="0"/>
          <w:sz w:val="32"/>
          <w:szCs w:val="32"/>
          <w:highlight w:val="none"/>
          <w:shd w:val="clear" w:color="auto" w:fill="FFFFFF"/>
        </w:rPr>
        <w:t>二手房交易</w:t>
      </w:r>
      <w:r>
        <w:rPr>
          <w:rFonts w:hint="eastAsia" w:ascii="仿宋_GB2312" w:hAnsi="仿宋_GB2312" w:eastAsia="仿宋_GB2312" w:cs="仿宋_GB2312"/>
          <w:color w:val="auto"/>
          <w:sz w:val="32"/>
          <w:szCs w:val="32"/>
          <w:highlight w:val="none"/>
        </w:rPr>
        <w:t>不仅使用</w:t>
      </w:r>
      <w:r>
        <w:rPr>
          <w:rFonts w:hint="eastAsia" w:ascii="仿宋_GB2312" w:hAnsi="仿宋_GB2312" w:eastAsia="仿宋_GB2312" w:cs="仿宋_GB2312"/>
          <w:color w:val="auto"/>
          <w:kern w:val="0"/>
          <w:sz w:val="32"/>
          <w:szCs w:val="32"/>
          <w:highlight w:val="none"/>
          <w:shd w:val="clear" w:color="auto" w:fill="FFFFFF"/>
        </w:rPr>
        <w:t>“智慧湘西+不动产登记税费管理系统”同时还实现了“不动产登记+水电气联动过户”，达到“一窗受理”、“推送办理”、“一站式办结”和“信息共享”的高效便利</w:t>
      </w:r>
      <w:r>
        <w:rPr>
          <w:rFonts w:hint="eastAsia" w:ascii="仿宋_GB2312" w:hAnsi="仿宋_GB2312" w:eastAsia="仿宋_GB2312" w:cs="仿宋_GB2312"/>
          <w:color w:val="auto"/>
          <w:kern w:val="0"/>
          <w:sz w:val="32"/>
          <w:szCs w:val="32"/>
          <w:highlight w:val="none"/>
          <w:shd w:val="clear" w:color="auto" w:fill="FFFFFF"/>
          <w:lang w:val="en-US" w:eastAsia="zh-CN"/>
        </w:rPr>
        <w:t>服务。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kern w:val="0"/>
          <w:sz w:val="32"/>
          <w:szCs w:val="32"/>
          <w:highlight w:val="none"/>
          <w:lang w:val="en-US" w:eastAsia="zh-CN"/>
        </w:rPr>
      </w:pPr>
      <w:r>
        <w:rPr>
          <w:rFonts w:hint="eastAsia" w:ascii="仿宋" w:hAnsi="仿宋" w:eastAsia="仿宋_GB2312" w:cs="仿宋"/>
          <w:sz w:val="32"/>
          <w:szCs w:val="32"/>
          <w:lang w:val="en-US" w:eastAsia="zh-CN"/>
        </w:rPr>
        <w:t>（7）加强地质灾害预警筛查，提升防灾减灾能力建设。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派出166组643人次下基层巡查，对全县乡镇2557户切坡建房进行核查，组织198户1574名人员安全转移，</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以来无</w:t>
      </w:r>
      <w:r>
        <w:rPr>
          <w:rFonts w:hint="eastAsia" w:ascii="仿宋_GB2312" w:hAnsi="仿宋_GB2312" w:eastAsia="仿宋_GB2312" w:cs="仿宋_GB2312"/>
          <w:color w:val="000000" w:themeColor="text1"/>
          <w:sz w:val="32"/>
          <w:szCs w:val="32"/>
          <w:highlight w:val="none"/>
          <w14:textFill>
            <w14:solidFill>
              <w14:schemeClr w14:val="tx1"/>
            </w14:solidFill>
          </w14:textFill>
        </w:rPr>
        <w:t>新增地质灾害隐患点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lang w:eastAsia="zh-CN"/>
        </w:rPr>
        <w:t>全年</w:t>
      </w:r>
      <w:r>
        <w:rPr>
          <w:rFonts w:hint="eastAsia" w:ascii="仿宋_GB2312" w:hAnsi="仿宋_GB2312" w:eastAsia="仿宋_GB2312" w:cs="仿宋_GB2312"/>
          <w:kern w:val="0"/>
          <w:sz w:val="32"/>
          <w:szCs w:val="32"/>
          <w:highlight w:val="none"/>
        </w:rPr>
        <w:t>未发生因管理不到位造成重大人员伤亡和财产损失的地质灾害</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rPr>
        <w:t>组织人员在街头设立咨询，向群众发放地质灾害防灾避灾宣传挂图、国务院《地质灾害防灾条例》、</w:t>
      </w:r>
      <w:r>
        <w:rPr>
          <w:rFonts w:hint="eastAsia" w:ascii="仿宋_GB2312" w:hAnsi="仿宋_GB2312" w:eastAsia="仿宋_GB2312" w:cs="仿宋_GB2312"/>
          <w:sz w:val="32"/>
          <w:szCs w:val="32"/>
          <w:highlight w:val="none"/>
          <w:lang w:val="en-US" w:eastAsia="zh-CN"/>
        </w:rPr>
        <w:t>自然</w:t>
      </w:r>
      <w:r>
        <w:rPr>
          <w:rFonts w:hint="eastAsia" w:ascii="仿宋_GB2312" w:hAnsi="仿宋_GB2312" w:eastAsia="仿宋_GB2312" w:cs="仿宋_GB2312"/>
          <w:sz w:val="32"/>
          <w:szCs w:val="32"/>
          <w:highlight w:val="none"/>
        </w:rPr>
        <w:t>资源部《地质灾害防治管理办法》、《湖南地质灾害防治管理办法》等宣传资料</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余份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印制了地质灾害防灾避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险</w:t>
      </w:r>
      <w:r>
        <w:rPr>
          <w:rFonts w:hint="eastAsia" w:ascii="仿宋_GB2312" w:hAnsi="仿宋_GB2312" w:eastAsia="仿宋_GB2312" w:cs="仿宋_GB2312"/>
          <w:color w:val="000000" w:themeColor="text1"/>
          <w:sz w:val="32"/>
          <w:szCs w:val="32"/>
          <w:highlight w:val="none"/>
          <w14:textFill>
            <w14:solidFill>
              <w14:schemeClr w14:val="tx1"/>
            </w14:solidFill>
          </w14:textFill>
        </w:rPr>
        <w:t>明白卡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和地质灾害防灾工作明白卡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5000</w:t>
      </w:r>
      <w:r>
        <w:rPr>
          <w:rFonts w:hint="eastAsia" w:ascii="仿宋_GB2312" w:hAnsi="仿宋_GB2312" w:eastAsia="仿宋_GB2312" w:cs="仿宋_GB2312"/>
          <w:color w:val="000000" w:themeColor="text1"/>
          <w:sz w:val="32"/>
          <w:szCs w:val="32"/>
          <w:highlight w:val="none"/>
          <w14:textFill>
            <w14:solidFill>
              <w14:schemeClr w14:val="tx1"/>
            </w14:solidFill>
          </w14:textFill>
        </w:rPr>
        <w:t>多份，将地质灾害隐患名称、监测人、报警信号、撤离组织人及撤离路线等内容填写清楚，一一发放到受威胁群众手中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提高群众对地质灾害的认知水平和强化地质灾害预警处理能力。</w:t>
      </w:r>
    </w:p>
    <w:p>
      <w:pPr>
        <w:ind w:firstLine="640" w:firstLineChars="200"/>
        <w:rPr>
          <w:rFonts w:hint="default" w:ascii="仿宋" w:hAnsi="仿宋" w:eastAsia="仿宋_GB2312" w:cs="仿宋"/>
          <w:sz w:val="32"/>
          <w:szCs w:val="32"/>
          <w:lang w:val="en-US" w:eastAsia="zh-CN"/>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四、预算绩效管理存在的问题及改进措施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我单位未出现未完成绩效目标或偏离绩效目标较大项目。</w:t>
      </w:r>
    </w:p>
    <w:p>
      <w:pPr>
        <w:rPr>
          <w:rFonts w:hint="eastAsia" w:ascii="仿宋" w:hAnsi="仿宋" w:eastAsia="仿宋" w:cs="仿宋"/>
          <w:sz w:val="32"/>
          <w:szCs w:val="32"/>
        </w:rPr>
      </w:pPr>
    </w:p>
    <w:p>
      <w:pPr>
        <w:rPr>
          <w:rFonts w:hint="eastAsia" w:ascii="仿宋" w:hAnsi="仿宋" w:eastAsia="仿宋" w:cs="仿宋"/>
          <w:sz w:val="32"/>
          <w:szCs w:val="32"/>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古丈县自然资源局</w:t>
      </w:r>
    </w:p>
    <w:p>
      <w:pPr>
        <w:jc w:val="right"/>
        <w:rPr>
          <w:rFonts w:hint="eastAsia"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B50668"/>
    <w:rsid w:val="01CB77B0"/>
    <w:rsid w:val="05E83F29"/>
    <w:rsid w:val="06B75848"/>
    <w:rsid w:val="06D266D4"/>
    <w:rsid w:val="07B01458"/>
    <w:rsid w:val="0BC866D8"/>
    <w:rsid w:val="104C4F2E"/>
    <w:rsid w:val="115B2158"/>
    <w:rsid w:val="16AC5D30"/>
    <w:rsid w:val="17D2052B"/>
    <w:rsid w:val="192561AE"/>
    <w:rsid w:val="1B3501FE"/>
    <w:rsid w:val="1BB74E72"/>
    <w:rsid w:val="1C900901"/>
    <w:rsid w:val="1E5D5F60"/>
    <w:rsid w:val="21146273"/>
    <w:rsid w:val="21F270FA"/>
    <w:rsid w:val="277D0F63"/>
    <w:rsid w:val="2AD53FC1"/>
    <w:rsid w:val="2DFE7ACB"/>
    <w:rsid w:val="2F433B90"/>
    <w:rsid w:val="34DD1CB8"/>
    <w:rsid w:val="351A5702"/>
    <w:rsid w:val="38D26C66"/>
    <w:rsid w:val="3A801DD8"/>
    <w:rsid w:val="3B1E53B3"/>
    <w:rsid w:val="3B805EA9"/>
    <w:rsid w:val="47152B0E"/>
    <w:rsid w:val="484F02A2"/>
    <w:rsid w:val="49B27967"/>
    <w:rsid w:val="49C5556E"/>
    <w:rsid w:val="4B0C5FD6"/>
    <w:rsid w:val="4CE0771A"/>
    <w:rsid w:val="4D4A6024"/>
    <w:rsid w:val="4EC41D37"/>
    <w:rsid w:val="4FBA6948"/>
    <w:rsid w:val="52160309"/>
    <w:rsid w:val="54104D89"/>
    <w:rsid w:val="5AA5317A"/>
    <w:rsid w:val="5F045AF6"/>
    <w:rsid w:val="5FE175D9"/>
    <w:rsid w:val="60A853F1"/>
    <w:rsid w:val="6983444E"/>
    <w:rsid w:val="6B463F87"/>
    <w:rsid w:val="6C7F08A6"/>
    <w:rsid w:val="6C847C6A"/>
    <w:rsid w:val="6EBD609B"/>
    <w:rsid w:val="70545BA6"/>
    <w:rsid w:val="70CF78C4"/>
    <w:rsid w:val="76B13BBA"/>
    <w:rsid w:val="780A3599"/>
    <w:rsid w:val="79112AFC"/>
    <w:rsid w:val="7C24628D"/>
    <w:rsid w:val="7C3030A2"/>
    <w:rsid w:val="7D99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szCs w:val="22"/>
    </w:rPr>
  </w:style>
  <w:style w:type="paragraph" w:styleId="3">
    <w:name w:val="Body Text"/>
    <w:basedOn w:val="1"/>
    <w:qFormat/>
    <w:uiPriority w:val="0"/>
    <w:pPr>
      <w:spacing w:afterLines="0" w:afterAutospacing="0"/>
    </w:pPr>
    <w:rPr>
      <w:rFonts w:asciiTheme="minorAscii" w:hAnsiTheme="minorAscii"/>
    </w:rPr>
  </w:style>
  <w:style w:type="paragraph" w:styleId="4">
    <w:name w:val="footer"/>
    <w:basedOn w:val="1"/>
    <w:next w:val="3"/>
    <w:qFormat/>
    <w:uiPriority w:val="0"/>
    <w:pPr>
      <w:tabs>
        <w:tab w:val="center" w:pos="4153"/>
        <w:tab w:val="right" w:pos="8306"/>
      </w:tabs>
      <w:snapToGrid w:val="0"/>
      <w:jc w:val="left"/>
    </w:pPr>
    <w:rPr>
      <w:sz w:val="24"/>
    </w:rPr>
  </w:style>
  <w:style w:type="paragraph" w:styleId="5">
    <w:name w:val="table of figures"/>
    <w:basedOn w:val="1"/>
    <w:next w:val="1"/>
    <w:qFormat/>
    <w:uiPriority w:val="0"/>
    <w:pPr>
      <w:ind w:left="200" w:leftChars="200" w:hanging="200" w:hanging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2871</Words>
  <Characters>3102</Characters>
  <Lines>0</Lines>
  <Paragraphs>0</Paragraphs>
  <TotalTime>0</TotalTime>
  <ScaleCrop>false</ScaleCrop>
  <LinksUpToDate>false</LinksUpToDate>
  <CharactersWithSpaces>3197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2023-05-04T05:11:00Z</dcterms:created>
  <dc:creator>Administrator</dc:creator>
  <cp:lastModifiedBy>丛林狐</cp:lastModifiedBy>
  <dcterms:modified xsi:type="dcterms:W3CDTF">2023-08-20T15:02:37Z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887D5444C00440DD851B305B3B1C3B55_12</vt:lpwstr>
  </property>
</Properties>
</file>