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方正小标宋简体" w:hAnsi="方正小标宋简体" w:eastAsia="方正小标宋简体" w:cs="方正小标宋简体"/>
          <w:b w:val="0"/>
          <w:bCs w:val="0"/>
          <w:sz w:val="44"/>
          <w:szCs w:val="44"/>
        </w:rPr>
      </w:pPr>
      <w:bookmarkStart w:id="0" w:name="_GoBack"/>
      <w:r>
        <w:rPr>
          <w:rFonts w:hint="eastAsia" w:ascii="方正小标宋简体" w:hAnsi="方正小标宋简体" w:eastAsia="方正小标宋简体" w:cs="方正小标宋简体"/>
          <w:b w:val="0"/>
          <w:bCs w:val="0"/>
          <w:kern w:val="0"/>
          <w:sz w:val="44"/>
          <w:szCs w:val="44"/>
          <w:lang w:val="en-US" w:eastAsia="zh-CN" w:bidi="ar"/>
        </w:rPr>
        <w:t>古丈县自然保护地整合优化方案</w:t>
      </w:r>
    </w:p>
    <w:bookmarkEnd w:id="0"/>
    <w:p>
      <w:pPr>
        <w:keepNext w:val="0"/>
        <w:keepLines w:val="0"/>
        <w:widowControl/>
        <w:suppressLineNumbers w:val="0"/>
        <w:jc w:val="left"/>
      </w:pPr>
      <w:r>
        <w:rPr>
          <w:rFonts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"http://www.heyuan.gov.cn/ywdt/tzgg/content/post_542642.html" \o "分享到微信"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"http://www.heyuan.gov.cn/ywdt/tzgg/content/post_542642.html" \o "分享到新浪微博"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"http://www.heyuan.gov.cn/ywdt/tzgg/content/post_542642.html" \o "分享到QQ"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"http://www.heyuan.gov.cn/ywdt/tzgg/content/post_542642.html" \o "分享到QQ空间"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为维护公共利益，保障相关单位和个人合法权益，按照中共中央办公厅 国务院办公厅印发的《关于建立以国家公园为主体的自然保护地体系的指导意见》要求，</w:t>
      </w:r>
      <w:r>
        <w:rPr>
          <w:rFonts w:hint="eastAsia" w:ascii="仿宋_GB2312" w:hAnsi="仿宋_GB2312" w:eastAsia="仿宋_GB2312" w:cs="仿宋_GB2312"/>
          <w:sz w:val="32"/>
          <w:szCs w:val="32"/>
          <w:lang w:val="en-US" w:eastAsia="zh-CN"/>
        </w:rPr>
        <w:t>古丈县人民政府</w:t>
      </w:r>
      <w:r>
        <w:rPr>
          <w:rFonts w:hint="eastAsia" w:ascii="仿宋_GB2312" w:hAnsi="仿宋_GB2312" w:eastAsia="仿宋_GB2312" w:cs="仿宋_GB2312"/>
          <w:sz w:val="32"/>
          <w:szCs w:val="32"/>
          <w:lang w:eastAsia="zh-CN"/>
        </w:rPr>
        <w:t>组织对</w:t>
      </w:r>
      <w:r>
        <w:rPr>
          <w:rFonts w:hint="eastAsia" w:ascii="仿宋_GB2312" w:hAnsi="仿宋_GB2312" w:eastAsia="仿宋_GB2312" w:cs="仿宋_GB2312"/>
          <w:sz w:val="32"/>
          <w:szCs w:val="32"/>
          <w:lang w:val="en-US" w:eastAsia="zh-CN"/>
        </w:rPr>
        <w:t>全县</w:t>
      </w:r>
      <w:r>
        <w:rPr>
          <w:rFonts w:hint="eastAsia" w:ascii="仿宋_GB2312" w:hAnsi="仿宋_GB2312" w:eastAsia="仿宋_GB2312" w:cs="仿宋_GB2312"/>
          <w:sz w:val="32"/>
          <w:szCs w:val="32"/>
          <w:lang w:eastAsia="zh-CN"/>
        </w:rPr>
        <w:t>辖区内自然保护地开展了整合优化工作，有关情况如下：</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right="0" w:rightChars="0"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lang w:eastAsia="zh-CN"/>
        </w:rPr>
        <w:t>整合优化规则</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leftChars="0"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依</w:t>
      </w:r>
      <w:r>
        <w:rPr>
          <w:rFonts w:hint="eastAsia" w:ascii="仿宋_GB2312" w:hAnsi="仿宋_GB2312" w:eastAsia="仿宋_GB2312" w:cs="仿宋_GB2312"/>
          <w:sz w:val="32"/>
          <w:szCs w:val="32"/>
          <w:lang w:val="en-US" w:eastAsia="zh-CN"/>
        </w:rPr>
        <w:t>据《自然资源部 国家林业和草原局关于做好自然保护区范围及功能分区优化调整前期有关工作的函》 （自</w:t>
      </w:r>
      <w:r>
        <w:rPr>
          <w:rFonts w:hint="eastAsia" w:ascii="仿宋_GB2312" w:hAnsi="仿宋_GB2312" w:eastAsia="仿宋_GB2312" w:cs="仿宋_GB2312"/>
          <w:sz w:val="32"/>
          <w:szCs w:val="32"/>
          <w:lang w:eastAsia="zh-CN"/>
        </w:rPr>
        <w:t>然资函〔2020〕71号）、《中共</w:t>
      </w:r>
      <w:r>
        <w:rPr>
          <w:rFonts w:hint="eastAsia" w:ascii="仿宋_GB2312" w:hAnsi="仿宋_GB2312" w:eastAsia="仿宋_GB2312" w:cs="仿宋_GB2312"/>
          <w:sz w:val="32"/>
          <w:szCs w:val="32"/>
          <w:lang w:val="en-US" w:eastAsia="zh-CN"/>
        </w:rPr>
        <w:t>湖南</w:t>
      </w:r>
      <w:r>
        <w:rPr>
          <w:rFonts w:hint="eastAsia" w:ascii="仿宋_GB2312" w:hAnsi="仿宋_GB2312" w:eastAsia="仿宋_GB2312" w:cs="仿宋_GB2312"/>
          <w:sz w:val="32"/>
          <w:szCs w:val="32"/>
          <w:lang w:eastAsia="zh-CN"/>
        </w:rPr>
        <w:t>省委办公厅</w:t>
      </w:r>
      <w:r>
        <w:rPr>
          <w:rFonts w:hint="eastAsia" w:ascii="仿宋_GB2312" w:hAnsi="仿宋_GB2312" w:eastAsia="仿宋_GB2312" w:cs="仿宋_GB2312"/>
          <w:sz w:val="32"/>
          <w:szCs w:val="32"/>
          <w:lang w:val="en-US" w:eastAsia="zh-CN"/>
        </w:rPr>
        <w:t xml:space="preserve"> 湖南</w:t>
      </w:r>
      <w:r>
        <w:rPr>
          <w:rFonts w:hint="eastAsia" w:ascii="仿宋_GB2312" w:hAnsi="仿宋_GB2312" w:eastAsia="仿宋_GB2312" w:cs="仿宋_GB2312"/>
          <w:sz w:val="32"/>
          <w:szCs w:val="32"/>
          <w:lang w:eastAsia="zh-CN"/>
        </w:rPr>
        <w:t>省人民政府办公厅印发关于建立以国家公园为主体的自然保护地体系的实施意见》（</w:t>
      </w:r>
      <w:r>
        <w:rPr>
          <w:rFonts w:hint="eastAsia" w:ascii="仿宋_GB2312" w:hAnsi="仿宋_GB2312" w:eastAsia="仿宋_GB2312" w:cs="仿宋_GB2312"/>
          <w:sz w:val="32"/>
          <w:szCs w:val="32"/>
          <w:lang w:val="en-US" w:eastAsia="zh-CN"/>
        </w:rPr>
        <w:t>湘办发〔</w:t>
      </w: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号）、《自然资源部办公厅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国家林业和草原局办公室关于生态保护红线划定中有关空间矛盾冲突处理规则的补充通知》（自然资办函 〔2021〕458号）、《国家林业和草原局办公室关于做好风景名胜区整合优化预案编制工作的函》（办函保字〔2022〕99号）、《国家林业和草原局办公室</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自然资源部办公厅</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生态环境部办公厅联合印发关于报送自然保护地整合优化方案的函》（办函保字〔2023〕33号）、《湖南省林业局 湖南省自然资源厅 湖南省生态环境厅关于报送自然保护地整合优化方案的函》（湘林保〔2023〕5号）文件整合优化规则，经过多轮调研、论证和完善，逐级上报省林业局、国家林业和草原局论证与审核后，形成全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自然保护地整合优化方案。</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right="0" w:righ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二、整合优化范围</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leftChars="0"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古丈县</w:t>
      </w:r>
      <w:r>
        <w:rPr>
          <w:rFonts w:hint="eastAsia" w:ascii="仿宋_GB2312" w:hAnsi="仿宋_GB2312" w:eastAsia="仿宋_GB2312" w:cs="仿宋_GB2312"/>
          <w:sz w:val="32"/>
          <w:szCs w:val="32"/>
          <w:lang w:eastAsia="zh-CN"/>
        </w:rPr>
        <w:t>自然保护地整合优化工作范围包括自然保护区、风景名胜区、森林公园、地质公园，共计</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lang w:val="en-US" w:eastAsia="zh-CN"/>
        </w:rPr>
        <w:t>批复面积分别为17169.8公顷、9769公顷、2371.29公顷、7400公顷，总批复面积36710.09公顷。</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right="0" w:righ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三、整合优化目标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合理确定自然保护地类型和功能定位，优化边界范围和功能分区，重点解决自然保护地空间重叠、边界不清、权责不明、保护与发展矛盾等问题，建立科学的自然保护地体系，建立了统一的自然保护地矢量数据图库，并纳入国土空间规划一张图管理。</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right="0" w:righ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四、整合优化结果</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Chars="0" w:firstLine="643"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楷体_GB2312" w:hAnsi="楷体_GB2312" w:eastAsia="楷体_GB2312" w:cs="楷体_GB2312"/>
          <w:b/>
          <w:bCs/>
          <w:kern w:val="0"/>
          <w:sz w:val="32"/>
          <w:szCs w:val="32"/>
          <w:lang w:val="en-US" w:eastAsia="zh-CN" w:bidi="ar"/>
        </w:rPr>
        <w:t>（一）整合优化从全县自然保护地调出空间3274.87公顷。</w:t>
      </w:r>
      <w:r>
        <w:rPr>
          <w:rFonts w:hint="eastAsia" w:ascii="仿宋_GB2312" w:hAnsi="仿宋_GB2312" w:eastAsia="仿宋_GB2312" w:cs="仿宋_GB2312"/>
          <w:kern w:val="0"/>
          <w:sz w:val="32"/>
          <w:szCs w:val="32"/>
          <w:lang w:val="en-US" w:eastAsia="zh-CN" w:bidi="ar"/>
        </w:rPr>
        <w:t>主要包括耕地517.43公顷、人工商品林656.99公顷、开发区和城镇村2002.77公顷，以及调出各类矛盾冲突空间连带产生的破碎地块86.26公顷。将20.74公顷调入自然保护地范围；另因县界原因，整合到相邻县自然保护地面积20.38公顷，相邻县自然保护地整合到古丈县自然保护地面积8.58公顷。</w:t>
      </w:r>
    </w:p>
    <w:p>
      <w:pPr>
        <w:pStyle w:val="4"/>
        <w:keepNext w:val="0"/>
        <w:keepLines w:val="0"/>
        <w:pageBreakBefore w:val="0"/>
        <w:widowControl/>
        <w:suppressLineNumbers w:val="0"/>
        <w:kinsoku/>
        <w:wordWrap/>
        <w:overflowPunct/>
        <w:topLinePunct w:val="0"/>
        <w:autoSpaceDE/>
        <w:autoSpaceDN/>
        <w:bidi w:val="0"/>
        <w:spacing w:beforeAutospacing="0" w:afterAutospacing="0" w:line="560" w:lineRule="exact"/>
        <w:ind w:leftChars="0" w:firstLine="643"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kern w:val="0"/>
          <w:sz w:val="32"/>
          <w:szCs w:val="32"/>
          <w:lang w:val="en-US" w:eastAsia="zh-CN" w:bidi="ar"/>
        </w:rPr>
        <w:t>（二）整合优化后，全县自然保护地为3个，总面积为 25260.54 公顷。</w:t>
      </w:r>
      <w:r>
        <w:rPr>
          <w:rFonts w:hint="eastAsia" w:ascii="仿宋_GB2312" w:hAnsi="仿宋_GB2312" w:eastAsia="仿宋_GB2312" w:cs="仿宋_GB2312"/>
          <w:sz w:val="32"/>
          <w:szCs w:val="32"/>
          <w:lang w:eastAsia="zh-CN"/>
        </w:rPr>
        <w:t>其中，湖南高望界国家级自然保护区面积</w:t>
      </w:r>
      <w:r>
        <w:rPr>
          <w:rFonts w:hint="eastAsia" w:ascii="仿宋_GB2312" w:hAnsi="仿宋_GB2312" w:eastAsia="仿宋_GB2312" w:cs="仿宋_GB2312"/>
          <w:sz w:val="32"/>
          <w:szCs w:val="32"/>
          <w:lang w:val="en-US" w:eastAsia="zh-CN"/>
        </w:rPr>
        <w:t>16203.98</w:t>
      </w:r>
      <w:r>
        <w:rPr>
          <w:rFonts w:hint="eastAsia" w:ascii="仿宋_GB2312" w:hAnsi="仿宋_GB2312" w:eastAsia="仿宋_GB2312" w:cs="仿宋_GB2312"/>
          <w:sz w:val="32"/>
          <w:szCs w:val="32"/>
          <w:lang w:eastAsia="zh-CN"/>
        </w:rPr>
        <w:t>公顷；红石林</w:t>
      </w:r>
      <w:r>
        <w:rPr>
          <w:rFonts w:hint="eastAsia" w:ascii="仿宋_GB2312" w:hAnsi="仿宋_GB2312" w:eastAsia="仿宋_GB2312" w:cs="仿宋_GB2312"/>
          <w:sz w:val="32"/>
          <w:szCs w:val="32"/>
          <w:lang w:val="en-US" w:eastAsia="zh-CN"/>
        </w:rPr>
        <w:t>-坐龙峡</w:t>
      </w:r>
      <w:r>
        <w:rPr>
          <w:rFonts w:hint="eastAsia" w:ascii="仿宋_GB2312" w:hAnsi="仿宋_GB2312" w:eastAsia="仿宋_GB2312" w:cs="仿宋_GB2312"/>
          <w:sz w:val="32"/>
          <w:szCs w:val="32"/>
          <w:lang w:eastAsia="zh-CN"/>
        </w:rPr>
        <w:t>国家级地质公园面积</w:t>
      </w:r>
      <w:r>
        <w:rPr>
          <w:rFonts w:hint="eastAsia" w:ascii="仿宋_GB2312" w:hAnsi="仿宋_GB2312" w:eastAsia="仿宋_GB2312" w:cs="仿宋_GB2312"/>
          <w:sz w:val="32"/>
          <w:szCs w:val="32"/>
          <w:lang w:val="en-US" w:eastAsia="zh-CN"/>
        </w:rPr>
        <w:t xml:space="preserve"> 6718.77 </w:t>
      </w:r>
      <w:r>
        <w:rPr>
          <w:rFonts w:hint="eastAsia" w:ascii="仿宋_GB2312" w:hAnsi="仿宋_GB2312" w:eastAsia="仿宋_GB2312" w:cs="仿宋_GB2312"/>
          <w:sz w:val="32"/>
          <w:szCs w:val="32"/>
          <w:lang w:eastAsia="zh-CN"/>
        </w:rPr>
        <w:t>公顷；栖凤湖省级风景名胜区面积</w:t>
      </w:r>
      <w:r>
        <w:rPr>
          <w:rFonts w:hint="eastAsia" w:ascii="仿宋_GB2312" w:hAnsi="仿宋_GB2312" w:eastAsia="仿宋_GB2312" w:cs="仿宋_GB2312"/>
          <w:sz w:val="32"/>
          <w:szCs w:val="32"/>
          <w:lang w:val="en-US" w:eastAsia="zh-CN"/>
        </w:rPr>
        <w:t xml:space="preserve"> 2337.79 </w:t>
      </w:r>
      <w:r>
        <w:rPr>
          <w:rFonts w:hint="eastAsia" w:ascii="仿宋_GB2312" w:hAnsi="仿宋_GB2312" w:eastAsia="仿宋_GB2312" w:cs="仿宋_GB2312"/>
          <w:sz w:val="32"/>
          <w:szCs w:val="32"/>
          <w:lang w:eastAsia="zh-CN"/>
        </w:rPr>
        <w:t>公顷，占国土总面积的</w:t>
      </w:r>
      <w:r>
        <w:rPr>
          <w:rFonts w:hint="eastAsia" w:ascii="仿宋_GB2312" w:hAnsi="仿宋_GB2312" w:eastAsia="仿宋_GB2312" w:cs="仿宋_GB2312"/>
          <w:sz w:val="32"/>
          <w:szCs w:val="32"/>
          <w:lang w:val="en-US" w:eastAsia="zh-CN"/>
        </w:rPr>
        <w:t>19.65</w:t>
      </w:r>
      <w:r>
        <w:rPr>
          <w:rFonts w:hint="eastAsia" w:ascii="仿宋_GB2312" w:hAnsi="仿宋_GB2312" w:eastAsia="仿宋_GB2312" w:cs="仿宋_GB2312"/>
          <w:sz w:val="32"/>
          <w:szCs w:val="32"/>
          <w:lang w:eastAsia="zh-CN"/>
        </w:rPr>
        <w:t>%。</w:t>
      </w:r>
    </w:p>
    <w:p>
      <w:pPr>
        <w:pStyle w:val="4"/>
        <w:keepNext w:val="0"/>
        <w:keepLines w:val="0"/>
        <w:pageBreakBefore w:val="0"/>
        <w:widowControl/>
        <w:numPr>
          <w:ilvl w:val="0"/>
          <w:numId w:val="0"/>
        </w:numPr>
        <w:suppressLineNumbers w:val="0"/>
        <w:kinsoku/>
        <w:wordWrap/>
        <w:overflowPunct/>
        <w:topLinePunct w:val="0"/>
        <w:autoSpaceDE/>
        <w:autoSpaceDN/>
        <w:bidi w:val="0"/>
        <w:spacing w:beforeAutospacing="0" w:afterAutospacing="0" w:line="560" w:lineRule="exact"/>
        <w:ind w:right="0" w:rightChars="0" w:firstLine="640" w:firstLineChars="200"/>
        <w:jc w:val="both"/>
        <w:textAlignment w:val="auto"/>
        <w:rPr>
          <w:rFonts w:hint="eastAsia" w:ascii="仿宋_GB2312" w:hAnsi="仿宋_GB2312" w:eastAsia="仿宋_GB2312" w:cs="仿宋_GB2312"/>
          <w:sz w:val="32"/>
          <w:szCs w:val="32"/>
          <w:lang w:eastAsia="zh-CN"/>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1.整合优化前自然保护地分布图</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1600" w:firstLineChars="5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2.整合优化后自然保护地分布图</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1600" w:firstLineChars="5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3.自然保护地调入图斑分布图</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1600" w:firstLineChars="5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4.自然保护地调出图斑分布图</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Chars="0" w:firstLine="1600" w:firstLineChars="5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5.自然保护地与生态保护红线分布图</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1916" w:leftChars="760" w:hanging="320" w:hangingChars="100"/>
        <w:jc w:val="left"/>
        <w:textAlignment w:val="auto"/>
        <w:rPr>
          <w:rFonts w:hint="eastAsia" w:asciiTheme="minorEastAsia" w:hAnsiTheme="minorEastAsia"/>
          <w:sz w:val="32"/>
          <w:szCs w:val="32"/>
          <w:lang w:eastAsia="zh-CN"/>
        </w:rPr>
      </w:pPr>
      <w:r>
        <w:rPr>
          <w:rFonts w:hint="eastAsia" w:asciiTheme="minorEastAsia" w:hAnsiTheme="minorEastAsia"/>
          <w:sz w:val="32"/>
          <w:szCs w:val="32"/>
          <w:lang w:val="en-US" w:eastAsia="zh-CN"/>
        </w:rPr>
        <w:t>6</w:t>
      </w:r>
      <w:r>
        <w:rPr>
          <w:rFonts w:hint="eastAsia" w:ascii="仿宋_GB2312" w:hAnsi="仿宋_GB2312" w:eastAsia="仿宋_GB2312" w:cs="仿宋_GB2312"/>
          <w:sz w:val="32"/>
          <w:szCs w:val="32"/>
          <w:lang w:val="en-US" w:eastAsia="zh-CN"/>
        </w:rPr>
        <w:t>.整合优化后的自然保护地与国土空间规划纲要“三区四带”关系图</w:t>
      </w:r>
      <w:r>
        <w:rPr>
          <w:rFonts w:hint="eastAsia" w:asciiTheme="minorEastAsia" w:hAnsiTheme="minorEastAsia"/>
          <w:sz w:val="32"/>
          <w:szCs w:val="32"/>
          <w:lang w:eastAsia="zh-CN"/>
        </w:rPr>
        <w:br w:type="page"/>
      </w:r>
    </w:p>
    <w:p>
      <w:pPr>
        <w:pStyle w:val="4"/>
        <w:keepNext w:val="0"/>
        <w:keepLines w:val="0"/>
        <w:widowControl/>
        <w:suppressLineNumbers w:val="0"/>
        <w:spacing w:line="420" w:lineRule="atLeast"/>
        <w:ind w:firstLine="640" w:firstLineChars="200"/>
        <w:jc w:val="both"/>
        <w:rPr>
          <w:rFonts w:hint="eastAsia" w:asciiTheme="minorEastAsia" w:hAnsiTheme="minorEastAsia"/>
          <w:sz w:val="32"/>
          <w:szCs w:val="32"/>
          <w:lang w:eastAsia="zh-CN"/>
        </w:rPr>
        <w:sectPr>
          <w:footerReference r:id="rId3" w:type="default"/>
          <w:pgSz w:w="11906" w:h="16838"/>
          <w:pgMar w:top="1701" w:right="1474" w:bottom="1587" w:left="1474" w:header="0" w:footer="1304" w:gutter="0"/>
          <w:pgNumType w:fmt="numberInDash" w:start="1"/>
          <w:cols w:space="425" w:num="1"/>
          <w:docGrid w:linePitch="299" w:charSpace="0"/>
        </w:sectPr>
      </w:pPr>
    </w:p>
    <w:p>
      <w:pPr>
        <w:pStyle w:val="4"/>
        <w:keepNext w:val="0"/>
        <w:keepLines w:val="0"/>
        <w:widowControl/>
        <w:suppressLineNumbers w:val="0"/>
        <w:spacing w:line="420" w:lineRule="atLeast"/>
        <w:jc w:val="both"/>
        <w:rPr>
          <w:rFonts w:hint="eastAsia" w:asciiTheme="minorEastAsia" w:hAnsiTheme="minorEastAsia"/>
          <w:sz w:val="32"/>
          <w:szCs w:val="32"/>
          <w:lang w:eastAsia="zh-CN"/>
        </w:rPr>
        <w:sectPr>
          <w:footerReference r:id="rId4" w:type="default"/>
          <w:pgSz w:w="23811" w:h="16838" w:orient="landscape"/>
          <w:pgMar w:top="1134" w:right="1587" w:bottom="1134" w:left="1587" w:header="0" w:footer="998" w:gutter="0"/>
          <w:pgNumType w:fmt="numberInDash" w:start="4"/>
          <w:cols w:space="0" w:num="1"/>
          <w:rtlGutter w:val="0"/>
          <w:docGrid w:linePitch="299" w:charSpace="0"/>
        </w:sectPr>
      </w:pPr>
      <w:r>
        <w:rPr>
          <w:rFonts w:hint="eastAsia" w:asciiTheme="minorEastAsia" w:hAnsiTheme="minorEastAsia"/>
          <w:sz w:val="32"/>
          <w:szCs w:val="32"/>
          <w:lang w:eastAsia="zh-CN"/>
        </w:rPr>
        <w:drawing>
          <wp:inline distT="0" distB="0" distL="114300" distR="114300">
            <wp:extent cx="12922250" cy="9141460"/>
            <wp:effectExtent l="0" t="0" r="12700" b="2540"/>
            <wp:docPr id="29" name="图片 29" descr="1.整合优化前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整合优化前自然保护地分布图"/>
                    <pic:cNvPicPr>
                      <a:picLocks noChangeAspect="1"/>
                    </pic:cNvPicPr>
                  </pic:nvPicPr>
                  <pic:blipFill>
                    <a:blip r:embed="rId6"/>
                    <a:stretch>
                      <a:fillRect/>
                    </a:stretch>
                  </pic:blipFill>
                  <pic:spPr>
                    <a:xfrm>
                      <a:off x="0" y="0"/>
                      <a:ext cx="12922250" cy="9141460"/>
                    </a:xfrm>
                    <a:prstGeom prst="rect">
                      <a:avLst/>
                    </a:prstGeom>
                  </pic:spPr>
                </pic:pic>
              </a:graphicData>
            </a:graphic>
          </wp:inline>
        </w:drawing>
      </w:r>
      <w:r>
        <w:rPr>
          <w:rFonts w:hint="eastAsia" w:asciiTheme="minorEastAsia" w:hAnsiTheme="minorEastAsia"/>
          <w:sz w:val="32"/>
          <w:szCs w:val="32"/>
          <w:lang w:eastAsia="zh-CN"/>
        </w:rPr>
        <w:drawing>
          <wp:inline distT="0" distB="0" distL="114300" distR="114300">
            <wp:extent cx="12909550" cy="9133205"/>
            <wp:effectExtent l="0" t="0" r="6350" b="10795"/>
            <wp:docPr id="28" name="图片 28" descr="2.整合优化后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整合优化后自然保护地分布图"/>
                    <pic:cNvPicPr>
                      <a:picLocks noChangeAspect="1"/>
                    </pic:cNvPicPr>
                  </pic:nvPicPr>
                  <pic:blipFill>
                    <a:blip r:embed="rId7"/>
                    <a:stretch>
                      <a:fillRect/>
                    </a:stretch>
                  </pic:blipFill>
                  <pic:spPr>
                    <a:xfrm>
                      <a:off x="0" y="0"/>
                      <a:ext cx="12909550" cy="9133205"/>
                    </a:xfrm>
                    <a:prstGeom prst="rect">
                      <a:avLst/>
                    </a:prstGeom>
                  </pic:spPr>
                </pic:pic>
              </a:graphicData>
            </a:graphic>
          </wp:inline>
        </w:drawing>
      </w:r>
      <w:r>
        <w:rPr>
          <w:rFonts w:hint="eastAsia" w:asciiTheme="minorEastAsia" w:hAnsiTheme="minorEastAsia"/>
          <w:sz w:val="32"/>
          <w:szCs w:val="32"/>
          <w:lang w:eastAsia="zh-CN"/>
        </w:rPr>
        <w:drawing>
          <wp:inline distT="0" distB="0" distL="114300" distR="114300">
            <wp:extent cx="12916535" cy="9139555"/>
            <wp:effectExtent l="0" t="0" r="18415" b="4445"/>
            <wp:docPr id="27" name="图片 27" descr="3.自然保护地调入图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自然保护地调入图斑分布图"/>
                    <pic:cNvPicPr>
                      <a:picLocks noChangeAspect="1"/>
                    </pic:cNvPicPr>
                  </pic:nvPicPr>
                  <pic:blipFill>
                    <a:blip r:embed="rId8"/>
                    <a:stretch>
                      <a:fillRect/>
                    </a:stretch>
                  </pic:blipFill>
                  <pic:spPr>
                    <a:xfrm>
                      <a:off x="0" y="0"/>
                      <a:ext cx="12916535" cy="9139555"/>
                    </a:xfrm>
                    <a:prstGeom prst="rect">
                      <a:avLst/>
                    </a:prstGeom>
                  </pic:spPr>
                </pic:pic>
              </a:graphicData>
            </a:graphic>
          </wp:inline>
        </w:drawing>
      </w:r>
      <w:r>
        <w:rPr>
          <w:rFonts w:hint="eastAsia" w:asciiTheme="minorEastAsia" w:hAnsiTheme="minorEastAsia"/>
          <w:sz w:val="32"/>
          <w:szCs w:val="32"/>
          <w:lang w:eastAsia="zh-CN"/>
        </w:rPr>
        <w:drawing>
          <wp:inline distT="0" distB="0" distL="114300" distR="114300">
            <wp:extent cx="12916535" cy="9139555"/>
            <wp:effectExtent l="0" t="0" r="18415" b="4445"/>
            <wp:docPr id="26" name="图片 26" descr="4.自然保护地调出图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自然保护地调出图斑分布图"/>
                    <pic:cNvPicPr>
                      <a:picLocks noChangeAspect="1"/>
                    </pic:cNvPicPr>
                  </pic:nvPicPr>
                  <pic:blipFill>
                    <a:blip r:embed="rId9"/>
                    <a:stretch>
                      <a:fillRect/>
                    </a:stretch>
                  </pic:blipFill>
                  <pic:spPr>
                    <a:xfrm>
                      <a:off x="0" y="0"/>
                      <a:ext cx="12916535" cy="9139555"/>
                    </a:xfrm>
                    <a:prstGeom prst="rect">
                      <a:avLst/>
                    </a:prstGeom>
                  </pic:spPr>
                </pic:pic>
              </a:graphicData>
            </a:graphic>
          </wp:inline>
        </w:drawing>
      </w:r>
      <w:r>
        <w:rPr>
          <w:rFonts w:hint="eastAsia" w:asciiTheme="minorEastAsia" w:hAnsiTheme="minorEastAsia"/>
          <w:sz w:val="32"/>
          <w:szCs w:val="32"/>
          <w:lang w:eastAsia="zh-CN"/>
        </w:rPr>
        <w:drawing>
          <wp:inline distT="0" distB="0" distL="114300" distR="114300">
            <wp:extent cx="12916535" cy="9139555"/>
            <wp:effectExtent l="0" t="0" r="18415" b="4445"/>
            <wp:docPr id="25" name="图片 25" descr="5.自然保护地与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自然保护地与生态保护红线分布图"/>
                    <pic:cNvPicPr>
                      <a:picLocks noChangeAspect="1"/>
                    </pic:cNvPicPr>
                  </pic:nvPicPr>
                  <pic:blipFill>
                    <a:blip r:embed="rId10"/>
                    <a:stretch>
                      <a:fillRect/>
                    </a:stretch>
                  </pic:blipFill>
                  <pic:spPr>
                    <a:xfrm>
                      <a:off x="0" y="0"/>
                      <a:ext cx="12916535" cy="9139555"/>
                    </a:xfrm>
                    <a:prstGeom prst="rect">
                      <a:avLst/>
                    </a:prstGeom>
                  </pic:spPr>
                </pic:pic>
              </a:graphicData>
            </a:graphic>
          </wp:inline>
        </w:drawing>
      </w:r>
      <w:r>
        <w:rPr>
          <w:rFonts w:hint="eastAsia" w:asciiTheme="minorEastAsia" w:hAnsiTheme="minorEastAsia"/>
          <w:sz w:val="32"/>
          <w:szCs w:val="32"/>
          <w:lang w:eastAsia="zh-CN"/>
        </w:rPr>
        <w:drawing>
          <wp:inline distT="0" distB="0" distL="114300" distR="114300">
            <wp:extent cx="12916535" cy="9139555"/>
            <wp:effectExtent l="0" t="0" r="18415" b="4445"/>
            <wp:docPr id="24" name="图片 24" descr="6.整合优化后的自然保护地与国土空间规划纲要“三区四带”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整合优化后的自然保护地与国土空间规划纲要“三区四带”关系图"/>
                    <pic:cNvPicPr>
                      <a:picLocks noChangeAspect="1"/>
                    </pic:cNvPicPr>
                  </pic:nvPicPr>
                  <pic:blipFill>
                    <a:blip r:embed="rId11"/>
                    <a:stretch>
                      <a:fillRect/>
                    </a:stretch>
                  </pic:blipFill>
                  <pic:spPr>
                    <a:xfrm>
                      <a:off x="0" y="0"/>
                      <a:ext cx="12916535" cy="9139555"/>
                    </a:xfrm>
                    <a:prstGeom prst="rect">
                      <a:avLst/>
                    </a:prstGeom>
                  </pic:spPr>
                </pic:pic>
              </a:graphicData>
            </a:graphic>
          </wp:inline>
        </w:drawing>
      </w:r>
    </w:p>
    <w:p>
      <w:pPr>
        <w:pStyle w:val="4"/>
        <w:keepNext w:val="0"/>
        <w:keepLines w:val="0"/>
        <w:widowControl/>
        <w:suppressLineNumbers w:val="0"/>
        <w:spacing w:line="420" w:lineRule="atLeast"/>
        <w:jc w:val="both"/>
        <w:rPr>
          <w:rFonts w:hint="eastAsia" w:asciiTheme="minorEastAsia" w:hAnsiTheme="minorEastAsia"/>
          <w:sz w:val="32"/>
          <w:szCs w:val="32"/>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OGY5YjY1MDg5YTEzMzYzODQzMTI4NjQ5MzRlM2EifQ=="/>
  </w:docVars>
  <w:rsids>
    <w:rsidRoot w:val="3B962743"/>
    <w:rsid w:val="00BF0E19"/>
    <w:rsid w:val="02870FE9"/>
    <w:rsid w:val="03D87186"/>
    <w:rsid w:val="04360A37"/>
    <w:rsid w:val="079946B7"/>
    <w:rsid w:val="085C2FC2"/>
    <w:rsid w:val="0982653F"/>
    <w:rsid w:val="0A0106F5"/>
    <w:rsid w:val="0E7F75CA"/>
    <w:rsid w:val="12386623"/>
    <w:rsid w:val="135E2714"/>
    <w:rsid w:val="13D3257C"/>
    <w:rsid w:val="146E358A"/>
    <w:rsid w:val="14BA1BCC"/>
    <w:rsid w:val="18D23C42"/>
    <w:rsid w:val="1A027F67"/>
    <w:rsid w:val="1EF61FA9"/>
    <w:rsid w:val="20FA0C45"/>
    <w:rsid w:val="21D84D67"/>
    <w:rsid w:val="2AC02819"/>
    <w:rsid w:val="2D3B2C7A"/>
    <w:rsid w:val="2D4879D7"/>
    <w:rsid w:val="2E0028ED"/>
    <w:rsid w:val="2E695599"/>
    <w:rsid w:val="2F2537C4"/>
    <w:rsid w:val="31605D0F"/>
    <w:rsid w:val="33B51A84"/>
    <w:rsid w:val="3799785C"/>
    <w:rsid w:val="37A06930"/>
    <w:rsid w:val="3B962743"/>
    <w:rsid w:val="3D03184B"/>
    <w:rsid w:val="3D767FEB"/>
    <w:rsid w:val="3DAE7C70"/>
    <w:rsid w:val="3DE25250"/>
    <w:rsid w:val="3E210442"/>
    <w:rsid w:val="3F906847"/>
    <w:rsid w:val="407707ED"/>
    <w:rsid w:val="43152C09"/>
    <w:rsid w:val="44670B79"/>
    <w:rsid w:val="4CDD40CE"/>
    <w:rsid w:val="4D090A1F"/>
    <w:rsid w:val="4E2950EE"/>
    <w:rsid w:val="4EF37BD9"/>
    <w:rsid w:val="537A08C9"/>
    <w:rsid w:val="54B6469D"/>
    <w:rsid w:val="54D272FC"/>
    <w:rsid w:val="54E65AEA"/>
    <w:rsid w:val="563C56BE"/>
    <w:rsid w:val="575F6AED"/>
    <w:rsid w:val="59A33D82"/>
    <w:rsid w:val="59BA622D"/>
    <w:rsid w:val="5D225799"/>
    <w:rsid w:val="5E532442"/>
    <w:rsid w:val="608F60E0"/>
    <w:rsid w:val="617436E2"/>
    <w:rsid w:val="64063AB3"/>
    <w:rsid w:val="64431196"/>
    <w:rsid w:val="686B098F"/>
    <w:rsid w:val="68975621"/>
    <w:rsid w:val="6B336580"/>
    <w:rsid w:val="6B424D54"/>
    <w:rsid w:val="6B4F21E3"/>
    <w:rsid w:val="6D0D76D9"/>
    <w:rsid w:val="6DEB2DB0"/>
    <w:rsid w:val="737F6027"/>
    <w:rsid w:val="738E31C1"/>
    <w:rsid w:val="754F23E5"/>
    <w:rsid w:val="75E2743D"/>
    <w:rsid w:val="7A613A85"/>
    <w:rsid w:val="7B8732D3"/>
    <w:rsid w:val="7E9623B7"/>
    <w:rsid w:val="7EC32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widowControl w:val="0"/>
      <w:tabs>
        <w:tab w:val="center" w:pos="4153"/>
        <w:tab w:val="right" w:pos="8306"/>
      </w:tabs>
      <w:snapToGrid w:val="0"/>
    </w:pPr>
    <w:rPr>
      <w:rFonts w:ascii="等线" w:hAnsi="等线" w:eastAsia="等线" w:cs="Times New Roman"/>
      <w:kern w:val="2"/>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qFormat/>
    <w:uiPriority w:val="0"/>
    <w:rPr>
      <w:color w:val="333333"/>
      <w:u w:val="none"/>
    </w:rPr>
  </w:style>
  <w:style w:type="character" w:styleId="8">
    <w:name w:val="Hyperlink"/>
    <w:basedOn w:val="6"/>
    <w:qFormat/>
    <w:uiPriority w:val="0"/>
    <w:rPr>
      <w:color w:val="33333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1295</Words>
  <Characters>1465</Characters>
  <Lines>0</Lines>
  <Paragraphs>0</Paragraphs>
  <TotalTime>1</TotalTime>
  <ScaleCrop>false</ScaleCrop>
  <LinksUpToDate>false</LinksUpToDate>
  <CharactersWithSpaces>1555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2023-03-24T06:06:00Z</dcterms:created>
  <dc:creator>华</dc:creator>
  <cp:lastModifiedBy>grdlt</cp:lastModifiedBy>
  <cp:lastPrinted>2023-03-27T07:29:00Z</cp:lastPrinted>
  <dcterms:modified xsi:type="dcterms:W3CDTF">2023-03-27T07:56:31Z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873BDF672D5044E893F2283EA5A36706</vt:lpwstr>
  </property>
</Properties>
</file>