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古政通〔2010〕7号</w:t>
            </w:r>
          </w:p>
        </w:tc>
        <w:tc>
          <w:tcPr>
            <w:tcW w:w="9003"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关于加强栖凤湖风景名胜区重点景区保护管理的通告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古政通〔2010〕11号</w:t>
            </w:r>
          </w:p>
        </w:tc>
        <w:tc>
          <w:tcPr>
            <w:tcW w:w="9003"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关于对栖凤湖实行“五个严禁”的通告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县国土资源局</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古国土资发〔2010〕17号</w:t>
            </w:r>
          </w:p>
        </w:tc>
        <w:tc>
          <w:tcPr>
            <w:tcW w:w="9003"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古丈县国土资源局规范行政处罚裁量权办法（试行）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县财政局</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古财发〔2010〕59号</w:t>
            </w:r>
          </w:p>
        </w:tc>
        <w:tc>
          <w:tcPr>
            <w:tcW w:w="9003"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古丈县财政局行政处罚裁量权基准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5</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古政办发〔2011〕25号</w:t>
            </w:r>
          </w:p>
        </w:tc>
        <w:tc>
          <w:tcPr>
            <w:tcW w:w="9003"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古丈县财政投资评审管理暂行办法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6</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古政通〔2011〕1号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关于加强民用建筑项目防空地下室建设和公用人防工程维护管理的通告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7</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古政通〔2011〕3号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关于在全县范围内实行矿业综合管理的通告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8</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县人防办</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古防办〔2011〕1号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古丈县人民防空行政处罚裁量权基准制度（试行）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9</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古政办发〔2012〕9号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古丈县廉租住房共有产权改革试点试行办法</w:t>
            </w:r>
          </w:p>
        </w:tc>
      </w:tr>
    </w:tbl>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15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10</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古政办发〔2012〕20号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古丈县存量房交易纳税评估工作实施方案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11</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古政办发〔2012〕28号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古丈县农村集体经济组织财务管理暂行办法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12</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古政办发〔2012〕29号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古丈县村级公益事业建设一事一议财政奖补暂行管理办法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13</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古政办发〔2012〕33号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古丈县其他事业单位绩效工资实施办法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14</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县财政局</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古财建〔2012〕5号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古丈县财政局关于进一步加强财政性建设资金管理工作的通知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15</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古政发〔2013〕6号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古丈县城镇规划区内私人建房管理暂行规定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r>
              <w:rPr>
                <w:rFonts w:hint="eastAsia" w:ascii="宋体" w:hAnsi="宋体" w:cs="宋体"/>
                <w:b w:val="0"/>
                <w:bCs w:val="0"/>
                <w:sz w:val="32"/>
                <w:szCs w:val="32"/>
                <w:vertAlign w:val="baseline"/>
                <w:lang w:val="en-US" w:eastAsia="zh-CN"/>
              </w:rPr>
              <w:t>6</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古政办发〔2013〕9号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古丈县流感大流行应急预案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r>
              <w:rPr>
                <w:rFonts w:hint="eastAsia" w:ascii="宋体" w:hAnsi="宋体" w:cs="宋体"/>
                <w:b w:val="0"/>
                <w:bCs w:val="0"/>
                <w:sz w:val="32"/>
                <w:szCs w:val="32"/>
                <w:vertAlign w:val="baseline"/>
                <w:lang w:val="en-US" w:eastAsia="zh-CN"/>
              </w:rPr>
              <w:t>7</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古政办发〔2013〕14号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关于加强和完善服务业统计工作的实施意见</w:t>
            </w:r>
          </w:p>
        </w:tc>
      </w:tr>
    </w:tbl>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r>
              <w:rPr>
                <w:rFonts w:hint="eastAsia" w:ascii="宋体" w:hAnsi="宋体" w:cs="宋体"/>
                <w:b w:val="0"/>
                <w:bCs w:val="0"/>
                <w:sz w:val="32"/>
                <w:szCs w:val="32"/>
                <w:vertAlign w:val="baseline"/>
                <w:lang w:val="en-US" w:eastAsia="zh-CN"/>
              </w:rPr>
              <w:t>8</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古政办发〔2013〕30号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古丈县安全生产监督管理职责规定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19</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县财政局</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古财建〔2013〕6号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关于进一步规范建设资金拨款管理工作的通知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0</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古政办发〔2014〕1号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古丈县保障性住房分配和运营管理暂行办法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1</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古政办发〔2014〕18号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古丈县政府投资项目务工人员工资支付保障金制度实施办法（试行）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2</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古政办发〔2014〕21号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古丈县社会救助暂行办法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3</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古政通〔2014〕5号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关于加强全县农村安全用电管理的通知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4</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古政办发〔2016〕11号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古丈县促进招商引资和鼓励外来投资暂行办法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5</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古政办发〔2016〕84号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古丈县茶叶街管理暂行规定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color w:val="auto"/>
                <w:sz w:val="32"/>
                <w:szCs w:val="32"/>
                <w:vertAlign w:val="baseline"/>
                <w:lang w:val="en-US" w:eastAsia="zh-CN"/>
              </w:rPr>
            </w:pPr>
            <w:r>
              <w:rPr>
                <w:rFonts w:hint="eastAsia" w:ascii="宋体" w:hAnsi="宋体" w:eastAsia="宋体" w:cs="宋体"/>
                <w:b w:val="0"/>
                <w:bCs w:val="0"/>
                <w:color w:val="auto"/>
                <w:sz w:val="32"/>
                <w:szCs w:val="32"/>
                <w:vertAlign w:val="baseline"/>
                <w:lang w:val="en-US" w:eastAsia="zh-CN"/>
              </w:rPr>
              <w:t>2</w:t>
            </w:r>
            <w:r>
              <w:rPr>
                <w:rFonts w:hint="eastAsia" w:ascii="宋体" w:hAnsi="宋体" w:cs="宋体"/>
                <w:b w:val="0"/>
                <w:bCs w:val="0"/>
                <w:color w:val="auto"/>
                <w:sz w:val="32"/>
                <w:szCs w:val="32"/>
                <w:vertAlign w:val="baseline"/>
                <w:lang w:val="en-US" w:eastAsia="zh-CN"/>
              </w:rPr>
              <w:t>6</w:t>
            </w:r>
          </w:p>
        </w:tc>
        <w:tc>
          <w:tcPr>
            <w:tcW w:w="2505" w:type="dxa"/>
            <w:noWrap w:val="0"/>
            <w:vAlign w:val="top"/>
          </w:tcPr>
          <w:p>
            <w:pPr>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古政</w:t>
            </w:r>
            <w:r>
              <w:rPr>
                <w:rFonts w:hint="eastAsia" w:ascii="宋体" w:hAnsi="宋体" w:cs="宋体"/>
                <w:b w:val="0"/>
                <w:bCs w:val="0"/>
                <w:color w:val="auto"/>
                <w:sz w:val="28"/>
                <w:szCs w:val="28"/>
                <w:vertAlign w:val="baseline"/>
                <w:lang w:val="en-US" w:eastAsia="zh-CN"/>
              </w:rPr>
              <w:t>办</w:t>
            </w:r>
            <w:r>
              <w:rPr>
                <w:rFonts w:hint="eastAsia" w:ascii="宋体" w:hAnsi="宋体" w:eastAsia="宋体" w:cs="宋体"/>
                <w:b w:val="0"/>
                <w:bCs w:val="0"/>
                <w:color w:val="auto"/>
                <w:sz w:val="28"/>
                <w:szCs w:val="28"/>
                <w:vertAlign w:val="baseline"/>
                <w:lang w:val="en-US" w:eastAsia="zh-CN"/>
              </w:rPr>
              <w:t>发〔2017〕14号</w:t>
            </w:r>
          </w:p>
        </w:tc>
        <w:tc>
          <w:tcPr>
            <w:tcW w:w="9003" w:type="dxa"/>
            <w:noWrap w:val="0"/>
            <w:vAlign w:val="top"/>
          </w:tcPr>
          <w:p>
            <w:pPr>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古丈县加油站建设管理暂行办法</w:t>
            </w:r>
          </w:p>
        </w:tc>
      </w:tr>
    </w:tbl>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7</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古政发〔2015〕6号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关于公布保留、取消和调整的县级行政许可事项目录的决定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r>
              <w:rPr>
                <w:rFonts w:hint="eastAsia" w:ascii="宋体" w:hAnsi="宋体" w:cs="宋体"/>
                <w:b w:val="0"/>
                <w:bCs w:val="0"/>
                <w:sz w:val="32"/>
                <w:szCs w:val="32"/>
                <w:vertAlign w:val="baseline"/>
                <w:lang w:val="en-US" w:eastAsia="zh-CN"/>
              </w:rPr>
              <w:t>8</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古政发〔2015〕7号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关于公布县人民政府工作部门权力清单和责任清单的通知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29</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古政办发〔2015〕2号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重点项目管理办法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0</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古政办发〔2015〕17号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关于落实最严格水资源管理制度的通知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1</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县人社局</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古人社函〔2015〕15号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古丈县乡镇机事业单位工作人员乡镇工作补贴实施办法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2</w:t>
            </w:r>
          </w:p>
        </w:tc>
        <w:tc>
          <w:tcPr>
            <w:tcW w:w="2505"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古政发〔2016〕3号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古丈县加快推进工业转型升级创新发展奖励扶持办法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3</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古政发〔2016〕5号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关于取消非行政许可审批事项的决定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4</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古政发〔2016〕6号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关于调整县人民政府工作部门权力清单的通知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color w:val="000000"/>
                <w:sz w:val="32"/>
                <w:szCs w:val="32"/>
                <w:vertAlign w:val="baseline"/>
                <w:lang w:val="en-US" w:eastAsia="zh-CN"/>
              </w:rPr>
            </w:pPr>
            <w:r>
              <w:rPr>
                <w:rFonts w:hint="eastAsia" w:ascii="宋体" w:hAnsi="宋体" w:eastAsia="宋体" w:cs="宋体"/>
                <w:b w:val="0"/>
                <w:bCs w:val="0"/>
                <w:color w:val="000000"/>
                <w:sz w:val="32"/>
                <w:szCs w:val="32"/>
                <w:vertAlign w:val="baseline"/>
                <w:lang w:val="en-US" w:eastAsia="zh-CN"/>
              </w:rPr>
              <w:t>3</w:t>
            </w:r>
            <w:r>
              <w:rPr>
                <w:rFonts w:hint="eastAsia" w:ascii="宋体" w:hAnsi="宋体" w:cs="宋体"/>
                <w:b w:val="0"/>
                <w:bCs w:val="0"/>
                <w:color w:val="000000"/>
                <w:sz w:val="32"/>
                <w:szCs w:val="32"/>
                <w:vertAlign w:val="baseline"/>
                <w:lang w:val="en-US" w:eastAsia="zh-CN"/>
              </w:rPr>
              <w:t>5</w:t>
            </w:r>
          </w:p>
        </w:tc>
        <w:tc>
          <w:tcPr>
            <w:tcW w:w="2505"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古政办发〔2016〕7号</w:t>
            </w:r>
          </w:p>
        </w:tc>
        <w:tc>
          <w:tcPr>
            <w:tcW w:w="9003"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古丈县出生缺陷防治工作实施方案</w:t>
            </w:r>
          </w:p>
        </w:tc>
      </w:tr>
    </w:tbl>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6</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古政办发〔2016〕8号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古丈县乡村教师支持计划（2015-2020）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7</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古政办发〔2016〕10号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古丈县城市棚户区改造项目房屋拆迁现房安置实施办法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r>
              <w:rPr>
                <w:rFonts w:hint="eastAsia" w:ascii="宋体" w:hAnsi="宋体" w:cs="宋体"/>
                <w:b w:val="0"/>
                <w:bCs w:val="0"/>
                <w:sz w:val="32"/>
                <w:szCs w:val="32"/>
                <w:vertAlign w:val="baseline"/>
                <w:lang w:val="en-US" w:eastAsia="zh-CN"/>
              </w:rPr>
              <w:t>8</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古政办发〔2016〕14号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古丈县社会保障兜底脱贫对象认定工作方案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39</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古政办发〔2016〕18号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古丈县金融风险专项整治实施方案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0</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古政办发〔2016〕19号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古丈县城市管理行政执法局执法依据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1</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古政办发〔2016〕32号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古丈县医疗卫生服务体系规划（2016-2020）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2</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古政办发〔2016〕85号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古丈县棚户区改造房屋拆迁安置方案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3</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古政通〔2016〕3号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关于古阳河水库下闸蓄水的通告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color w:val="000000"/>
                <w:sz w:val="32"/>
                <w:szCs w:val="32"/>
                <w:vertAlign w:val="baseline"/>
                <w:lang w:val="en-US" w:eastAsia="zh-CN"/>
              </w:rPr>
            </w:pPr>
            <w:r>
              <w:rPr>
                <w:rFonts w:hint="eastAsia" w:ascii="宋体" w:hAnsi="宋体" w:eastAsia="宋体" w:cs="宋体"/>
                <w:b w:val="0"/>
                <w:bCs w:val="0"/>
                <w:color w:val="000000"/>
                <w:sz w:val="32"/>
                <w:szCs w:val="32"/>
                <w:vertAlign w:val="baseline"/>
                <w:lang w:val="en-US" w:eastAsia="zh-CN"/>
              </w:rPr>
              <w:t>4</w:t>
            </w:r>
            <w:r>
              <w:rPr>
                <w:rFonts w:hint="eastAsia" w:ascii="宋体" w:hAnsi="宋体" w:cs="宋体"/>
                <w:b w:val="0"/>
                <w:bCs w:val="0"/>
                <w:color w:val="000000"/>
                <w:sz w:val="32"/>
                <w:szCs w:val="32"/>
                <w:vertAlign w:val="baseline"/>
                <w:lang w:val="en-US" w:eastAsia="zh-CN"/>
              </w:rPr>
              <w:t>4</w:t>
            </w:r>
          </w:p>
        </w:tc>
        <w:tc>
          <w:tcPr>
            <w:tcW w:w="2505"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古政通〔2016〕5号</w:t>
            </w:r>
          </w:p>
        </w:tc>
        <w:tc>
          <w:tcPr>
            <w:tcW w:w="9003"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关于严厉打击生猪私屠滥宰行为规范肉品市场秩序的通告</w:t>
            </w:r>
          </w:p>
        </w:tc>
      </w:tr>
    </w:tbl>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default" w:ascii="宋体" w:hAnsi="宋体" w:eastAsia="宋体" w:cs="宋体"/>
          <w:b/>
          <w:bCs/>
          <w:sz w:val="32"/>
          <w:szCs w:val="32"/>
          <w:lang w:val="en-US" w:eastAsia="zh-CN"/>
        </w:rPr>
      </w:pPr>
      <w:r>
        <w:rPr>
          <w:rFonts w:hint="eastAsia" w:ascii="宋体" w:hAnsi="宋体" w:eastAsia="宋体" w:cs="宋体"/>
          <w:b/>
          <w:bCs/>
          <w:sz w:val="44"/>
          <w:szCs w:val="44"/>
          <w:lang w:val="en-US" w:eastAsia="zh-CN"/>
        </w:rPr>
        <w:t>宣布失效的规范性文件目录</w:t>
      </w:r>
    </w:p>
    <w:tbl>
      <w:tblPr>
        <w:tblStyle w:val="4"/>
        <w:tblpPr w:leftFromText="180" w:rightFromText="180" w:vertAnchor="text" w:horzAnchor="page" w:tblpX="493" w:tblpY="543"/>
        <w:tblOverlap w:val="never"/>
        <w:tblW w:w="15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05"/>
        <w:gridCol w:w="3330"/>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2505"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制定机关</w:t>
            </w:r>
          </w:p>
        </w:tc>
        <w:tc>
          <w:tcPr>
            <w:tcW w:w="3330"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文号  </w:t>
            </w:r>
          </w:p>
        </w:tc>
        <w:tc>
          <w:tcPr>
            <w:tcW w:w="9003" w:type="dxa"/>
            <w:noWrap w:val="0"/>
            <w:vAlign w:val="top"/>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5</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古政发〔2017〕2号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古丈县全民健身实施计划（2016-2020）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6</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古政发〔2017〕3号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古丈县森林火灾应急预案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r>
              <w:rPr>
                <w:rFonts w:hint="eastAsia" w:ascii="宋体" w:hAnsi="宋体" w:cs="宋体"/>
                <w:b w:val="0"/>
                <w:bCs w:val="0"/>
                <w:sz w:val="32"/>
                <w:szCs w:val="32"/>
                <w:vertAlign w:val="baseline"/>
                <w:lang w:val="en-US" w:eastAsia="zh-CN"/>
              </w:rPr>
              <w:t>7</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古政办发〔2017〕6号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县级发证矿山地质环境治理备用金收存和管理的通知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color w:val="000000"/>
                <w:sz w:val="32"/>
                <w:szCs w:val="32"/>
                <w:vertAlign w:val="baseline"/>
                <w:lang w:val="en-US" w:eastAsia="zh-CN"/>
              </w:rPr>
            </w:pPr>
            <w:r>
              <w:rPr>
                <w:rFonts w:hint="eastAsia" w:ascii="宋体" w:hAnsi="宋体" w:cs="宋体"/>
                <w:b w:val="0"/>
                <w:bCs w:val="0"/>
                <w:color w:val="000000"/>
                <w:sz w:val="32"/>
                <w:szCs w:val="32"/>
                <w:vertAlign w:val="baseline"/>
                <w:lang w:val="en-US" w:eastAsia="zh-CN"/>
              </w:rPr>
              <w:t>48</w:t>
            </w:r>
          </w:p>
        </w:tc>
        <w:tc>
          <w:tcPr>
            <w:tcW w:w="2505"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古政办发</w:t>
            </w:r>
            <w:r>
              <w:rPr>
                <w:rFonts w:hint="eastAsia" w:ascii="仿宋" w:hAnsi="仿宋" w:eastAsia="仿宋" w:cs="仿宋"/>
                <w:b w:val="0"/>
                <w:bCs w:val="0"/>
                <w:color w:val="000000"/>
                <w:sz w:val="28"/>
                <w:szCs w:val="28"/>
                <w:vertAlign w:val="baseline"/>
                <w:lang w:val="en-US" w:eastAsia="zh-CN"/>
              </w:rPr>
              <w:t>〔2017〕11号</w:t>
            </w:r>
          </w:p>
        </w:tc>
        <w:tc>
          <w:tcPr>
            <w:tcW w:w="9003" w:type="dxa"/>
            <w:noWrap w:val="0"/>
            <w:vAlign w:val="top"/>
          </w:tcPr>
          <w:p>
            <w:pPr>
              <w:jc w:val="center"/>
              <w:rPr>
                <w:rFonts w:hint="default" w:ascii="宋体" w:hAnsi="宋体" w:eastAsia="宋体" w:cs="宋体"/>
                <w:b w:val="0"/>
                <w:bCs w:val="0"/>
                <w:color w:val="000000"/>
                <w:sz w:val="28"/>
                <w:szCs w:val="28"/>
                <w:vertAlign w:val="baseline"/>
                <w:lang w:val="en-US" w:eastAsia="zh-CN"/>
              </w:rPr>
            </w:pPr>
            <w:r>
              <w:rPr>
                <w:rFonts w:hint="eastAsia" w:ascii="宋体" w:hAnsi="宋体" w:eastAsia="宋体" w:cs="宋体"/>
                <w:b w:val="0"/>
                <w:bCs w:val="0"/>
                <w:color w:val="000000"/>
                <w:sz w:val="28"/>
                <w:szCs w:val="28"/>
                <w:vertAlign w:val="baseline"/>
                <w:lang w:val="en-US" w:eastAsia="zh-CN"/>
              </w:rPr>
              <w:t>古丈县粮食应急预案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49</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古政办发〔2019〕2号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古丈县工业用地弹性出让实施办法（试行）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50</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古政办发〔2019〕13号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古丈县信访人信用管理实施办法（试行）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5</w:t>
            </w:r>
            <w:r>
              <w:rPr>
                <w:rFonts w:hint="eastAsia" w:ascii="宋体" w:hAnsi="宋体" w:cs="宋体"/>
                <w:b w:val="0"/>
                <w:bCs w:val="0"/>
                <w:sz w:val="32"/>
                <w:szCs w:val="32"/>
                <w:vertAlign w:val="baseline"/>
                <w:lang w:val="en-US" w:eastAsia="zh-CN"/>
              </w:rPr>
              <w:t>1</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古政办发〔2020〕2号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古丈县城乡居民基本医疗保险管理办法（试行）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5</w:t>
            </w:r>
            <w:r>
              <w:rPr>
                <w:rFonts w:hint="eastAsia" w:ascii="宋体" w:hAnsi="宋体" w:cs="宋体"/>
                <w:b w:val="0"/>
                <w:bCs w:val="0"/>
                <w:sz w:val="32"/>
                <w:szCs w:val="32"/>
                <w:vertAlign w:val="baseline"/>
                <w:lang w:val="en-US" w:eastAsia="zh-CN"/>
              </w:rPr>
              <w:t>2</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古政办发〔2020〕3号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古丈县招商引资活动管理办法（暂行）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5</w:t>
            </w:r>
            <w:r>
              <w:rPr>
                <w:rFonts w:hint="eastAsia" w:ascii="宋体" w:hAnsi="宋体" w:cs="宋体"/>
                <w:b w:val="0"/>
                <w:bCs w:val="0"/>
                <w:sz w:val="32"/>
                <w:szCs w:val="32"/>
                <w:vertAlign w:val="baseline"/>
                <w:lang w:val="en-US" w:eastAsia="zh-CN"/>
              </w:rPr>
              <w:t>3</w:t>
            </w:r>
          </w:p>
        </w:tc>
        <w:tc>
          <w:tcPr>
            <w:tcW w:w="2505"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县人民政府办公室</w:t>
            </w:r>
          </w:p>
        </w:tc>
        <w:tc>
          <w:tcPr>
            <w:tcW w:w="3330"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古政办发〔2020〕7号</w:t>
            </w:r>
          </w:p>
        </w:tc>
        <w:tc>
          <w:tcPr>
            <w:tcW w:w="9003"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古丈县农村饮水安全工程运行管护暂行办法</w:t>
            </w:r>
          </w:p>
        </w:tc>
      </w:tr>
    </w:tbl>
    <w:p>
      <w:bookmarkStart w:id="0" w:name="_GoBack"/>
      <w:bookmarkEnd w:id="0"/>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jI0NmM3NjUyOTIyMWUwYWRhYzRkMTA0MzE4YjMifQ=="/>
  </w:docVars>
  <w:rsids>
    <w:rsidRoot w:val="00000000"/>
    <w:rsid w:val="2BF2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2022-07-27T05:55:47Z</dcterms:created>
  <dc:creator>z</dc:creator>
  <cp:lastModifiedBy>z</cp:lastModifiedBy>
  <dcterms:modified xsi:type="dcterms:W3CDTF">2022-07-27T05:56:22Z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E79BC1CD813745F4A2414B5D059BDB0B</vt:lpwstr>
  </property>
</Properties>
</file>